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746"/>
      </w:tblGrid>
      <w:tr w:rsidR="00667B13" w14:paraId="3CAA1752" w14:textId="77777777">
        <w:trPr>
          <w:jc w:val="center"/>
        </w:trPr>
        <w:tc>
          <w:tcPr>
            <w:tcW w:w="9746" w:type="dxa"/>
            <w:shd w:val="clear" w:color="auto" w:fill="0A0A0A"/>
            <w:tcMar>
              <w:top w:w="420" w:type="dxa"/>
              <w:left w:w="360" w:type="dxa"/>
              <w:bottom w:w="420" w:type="dxa"/>
              <w:right w:w="360" w:type="dxa"/>
            </w:tcMar>
          </w:tcPr>
          <w:p w14:paraId="1EE2751A" w14:textId="77777777" w:rsidR="00667B13" w:rsidRPr="00E17531" w:rsidRDefault="00000000">
            <w:pPr>
              <w:rPr>
                <w:lang w:val="de-DE"/>
              </w:rPr>
            </w:pPr>
            <w:r w:rsidRPr="00E17531">
              <w:rPr>
                <w:rFonts w:cs="Arial"/>
                <w:b/>
                <w:color w:val="FBCE3C"/>
                <w:sz w:val="26"/>
                <w:lang w:val="de-DE"/>
              </w:rPr>
              <w:t xml:space="preserve">★ </w:t>
            </w:r>
            <w:r w:rsidRPr="00E17531">
              <w:rPr>
                <w:rFonts w:cs="Arial"/>
                <w:b/>
                <w:color w:val="FFFFFF"/>
                <w:sz w:val="26"/>
                <w:lang w:val="de-DE"/>
              </w:rPr>
              <w:t>HANDWERK</w:t>
            </w:r>
            <w:r w:rsidRPr="00E17531">
              <w:rPr>
                <w:rFonts w:cs="Arial"/>
                <w:b/>
                <w:color w:val="FBCE3C"/>
                <w:sz w:val="26"/>
                <w:lang w:val="de-DE"/>
              </w:rPr>
              <w:t>STARS</w:t>
            </w:r>
          </w:p>
          <w:p w14:paraId="70B31ABE" w14:textId="77777777" w:rsidR="00667B13" w:rsidRPr="00E17531" w:rsidRDefault="00000000">
            <w:pPr>
              <w:spacing w:after="240"/>
              <w:rPr>
                <w:lang w:val="de-DE"/>
              </w:rPr>
            </w:pPr>
            <w:r w:rsidRPr="00E17531">
              <w:rPr>
                <w:rFonts w:cs="Arial"/>
                <w:b/>
                <w:color w:val="FBCE3C"/>
                <w:sz w:val="18"/>
                <w:lang w:val="de-DE"/>
              </w:rPr>
              <w:t>TOP-HANDWERKER ERFOLGSKIT · WERKZEUG 5 VON 7</w:t>
            </w:r>
          </w:p>
          <w:p w14:paraId="2215E2FC" w14:textId="77777777" w:rsidR="00667B13" w:rsidRPr="00E17531" w:rsidRDefault="00000000">
            <w:pPr>
              <w:spacing w:after="160"/>
              <w:rPr>
                <w:lang w:val="de-DE"/>
              </w:rPr>
            </w:pPr>
            <w:r w:rsidRPr="00E17531">
              <w:rPr>
                <w:rFonts w:cs="Arial"/>
                <w:b/>
                <w:color w:val="FFFFFF"/>
                <w:sz w:val="44"/>
                <w:lang w:val="de-DE"/>
              </w:rPr>
              <w:t>Verkaufsleitfaden, vom Erstkontakt zum Auftrag</w:t>
            </w:r>
          </w:p>
          <w:p w14:paraId="3CB1B00B" w14:textId="77777777" w:rsidR="00667B13" w:rsidRPr="00E17531" w:rsidRDefault="00000000">
            <w:pPr>
              <w:spacing w:after="320"/>
              <w:rPr>
                <w:lang w:val="de-DE"/>
              </w:rPr>
            </w:pPr>
            <w:r w:rsidRPr="00E17531">
              <w:rPr>
                <w:rFonts w:cs="Arial"/>
                <w:color w:val="DDDDDD"/>
                <w:sz w:val="24"/>
                <w:lang w:val="de-DE"/>
              </w:rPr>
              <w:t>Der komplette Verkaufsprozess: qualifizieren, überzeugen, abschließen</w:t>
            </w:r>
          </w:p>
          <w:p w14:paraId="07BB6F50" w14:textId="77777777" w:rsidR="00667B13" w:rsidRDefault="00000000">
            <w:pPr>
              <w:spacing w:after="0"/>
            </w:pPr>
            <w:r>
              <w:rPr>
                <w:rFonts w:cs="Arial"/>
                <w:b/>
                <w:color w:val="FBCE3C"/>
                <w:sz w:val="20"/>
              </w:rPr>
              <w:t>Eine Klasse für sich.</w:t>
            </w:r>
          </w:p>
        </w:tc>
      </w:tr>
    </w:tbl>
    <w:p w14:paraId="644D74A9" w14:textId="77777777" w:rsidR="00667B13" w:rsidRDefault="00667B13"/>
    <w:p w14:paraId="0A81695D" w14:textId="77777777" w:rsidR="00667B13" w:rsidRDefault="00000000">
      <w:pPr>
        <w:pStyle w:val="Heading2"/>
      </w:pPr>
      <w:bookmarkStart w:id="0" w:name="_Toc231740187"/>
      <w:r>
        <w:rPr>
          <w:rFonts w:ascii="Arial" w:hAnsi="Arial" w:cs="Arial"/>
        </w:rPr>
        <w:t>Inhalt</w:t>
      </w:r>
      <w:bookmarkEnd w:id="0"/>
    </w:p>
    <w:p w14:paraId="21B3D2D4" w14:textId="77777777" w:rsidR="00E17531" w:rsidRDefault="00000000">
      <w:pPr>
        <w:pStyle w:val="TOC2"/>
        <w:tabs>
          <w:tab w:val="right" w:leader="dot" w:pos="9736"/>
        </w:tabs>
        <w:rPr>
          <w:noProof/>
        </w:rPr>
      </w:pPr>
      <w:r>
        <w:fldChar w:fldCharType="begin"/>
      </w:r>
      <w:r>
        <w:instrText>TOC \o "1-2" \h \z \u</w:instrText>
      </w:r>
      <w:r>
        <w:fldChar w:fldCharType="separate"/>
      </w:r>
      <w:hyperlink w:anchor="_Toc231740187" w:history="1">
        <w:r w:rsidR="00E17531" w:rsidRPr="00A069E5">
          <w:rPr>
            <w:rStyle w:val="Hyperlink"/>
            <w:rFonts w:cs="Arial"/>
            <w:noProof/>
          </w:rPr>
          <w:t>Inhalt</w:t>
        </w:r>
        <w:r w:rsidR="00E17531">
          <w:rPr>
            <w:noProof/>
            <w:webHidden/>
          </w:rPr>
          <w:tab/>
        </w:r>
        <w:r w:rsidR="00E17531">
          <w:rPr>
            <w:noProof/>
            <w:webHidden/>
          </w:rPr>
          <w:fldChar w:fldCharType="begin"/>
        </w:r>
        <w:r w:rsidR="00E17531">
          <w:rPr>
            <w:noProof/>
            <w:webHidden/>
          </w:rPr>
          <w:instrText xml:space="preserve"> PAGEREF _Toc231740187 \h </w:instrText>
        </w:r>
        <w:r w:rsidR="00E17531">
          <w:rPr>
            <w:noProof/>
            <w:webHidden/>
          </w:rPr>
        </w:r>
        <w:r w:rsidR="00E17531">
          <w:rPr>
            <w:noProof/>
            <w:webHidden/>
          </w:rPr>
          <w:fldChar w:fldCharType="separate"/>
        </w:r>
        <w:r w:rsidR="00E17531">
          <w:rPr>
            <w:noProof/>
            <w:webHidden/>
          </w:rPr>
          <w:t>1</w:t>
        </w:r>
        <w:r w:rsidR="00E17531">
          <w:rPr>
            <w:noProof/>
            <w:webHidden/>
          </w:rPr>
          <w:fldChar w:fldCharType="end"/>
        </w:r>
      </w:hyperlink>
    </w:p>
    <w:p w14:paraId="0AABD1C8" w14:textId="77777777" w:rsidR="00E17531" w:rsidRDefault="00E17531">
      <w:pPr>
        <w:pStyle w:val="TOC1"/>
        <w:tabs>
          <w:tab w:val="right" w:leader="dot" w:pos="9736"/>
        </w:tabs>
        <w:rPr>
          <w:noProof/>
        </w:rPr>
      </w:pPr>
      <w:hyperlink w:anchor="_Toc231740188" w:history="1">
        <w:r w:rsidRPr="00A069E5">
          <w:rPr>
            <w:rStyle w:val="Hyperlink"/>
            <w:rFonts w:cs="Arial"/>
            <w:noProof/>
          </w:rPr>
          <w:t>1. Worum es in diesem Leitfaden geht</w:t>
        </w:r>
        <w:r>
          <w:rPr>
            <w:noProof/>
            <w:webHidden/>
          </w:rPr>
          <w:tab/>
        </w:r>
        <w:r>
          <w:rPr>
            <w:noProof/>
            <w:webHidden/>
          </w:rPr>
          <w:fldChar w:fldCharType="begin"/>
        </w:r>
        <w:r>
          <w:rPr>
            <w:noProof/>
            <w:webHidden/>
          </w:rPr>
          <w:instrText xml:space="preserve"> PAGEREF _Toc231740188 \h </w:instrText>
        </w:r>
        <w:r>
          <w:rPr>
            <w:noProof/>
            <w:webHidden/>
          </w:rPr>
        </w:r>
        <w:r>
          <w:rPr>
            <w:noProof/>
            <w:webHidden/>
          </w:rPr>
          <w:fldChar w:fldCharType="separate"/>
        </w:r>
        <w:r>
          <w:rPr>
            <w:noProof/>
            <w:webHidden/>
          </w:rPr>
          <w:t>2</w:t>
        </w:r>
        <w:r>
          <w:rPr>
            <w:noProof/>
            <w:webHidden/>
          </w:rPr>
          <w:fldChar w:fldCharType="end"/>
        </w:r>
      </w:hyperlink>
    </w:p>
    <w:p w14:paraId="7C9B930F" w14:textId="77777777" w:rsidR="00E17531" w:rsidRDefault="00E17531">
      <w:pPr>
        <w:pStyle w:val="TOC1"/>
        <w:tabs>
          <w:tab w:val="right" w:leader="dot" w:pos="9736"/>
        </w:tabs>
        <w:rPr>
          <w:noProof/>
        </w:rPr>
      </w:pPr>
      <w:hyperlink w:anchor="_Toc231740189" w:history="1">
        <w:r w:rsidRPr="00A069E5">
          <w:rPr>
            <w:rStyle w:val="Hyperlink"/>
            <w:rFonts w:cs="Arial"/>
            <w:noProof/>
          </w:rPr>
          <w:t>2. Die Haltung: Auswahl statt Überredung</w:t>
        </w:r>
        <w:r>
          <w:rPr>
            <w:noProof/>
            <w:webHidden/>
          </w:rPr>
          <w:tab/>
        </w:r>
        <w:r>
          <w:rPr>
            <w:noProof/>
            <w:webHidden/>
          </w:rPr>
          <w:fldChar w:fldCharType="begin"/>
        </w:r>
        <w:r>
          <w:rPr>
            <w:noProof/>
            <w:webHidden/>
          </w:rPr>
          <w:instrText xml:space="preserve"> PAGEREF _Toc231740189 \h </w:instrText>
        </w:r>
        <w:r>
          <w:rPr>
            <w:noProof/>
            <w:webHidden/>
          </w:rPr>
        </w:r>
        <w:r>
          <w:rPr>
            <w:noProof/>
            <w:webHidden/>
          </w:rPr>
          <w:fldChar w:fldCharType="separate"/>
        </w:r>
        <w:r>
          <w:rPr>
            <w:noProof/>
            <w:webHidden/>
          </w:rPr>
          <w:t>2</w:t>
        </w:r>
        <w:r>
          <w:rPr>
            <w:noProof/>
            <w:webHidden/>
          </w:rPr>
          <w:fldChar w:fldCharType="end"/>
        </w:r>
      </w:hyperlink>
    </w:p>
    <w:p w14:paraId="7765A97F" w14:textId="77777777" w:rsidR="00E17531" w:rsidRDefault="00E17531">
      <w:pPr>
        <w:pStyle w:val="TOC1"/>
        <w:tabs>
          <w:tab w:val="right" w:leader="dot" w:pos="9736"/>
        </w:tabs>
        <w:rPr>
          <w:noProof/>
        </w:rPr>
      </w:pPr>
      <w:hyperlink w:anchor="_Toc231740190" w:history="1">
        <w:r w:rsidRPr="00A069E5">
          <w:rPr>
            <w:rStyle w:val="Hyperlink"/>
            <w:rFonts w:cs="Arial"/>
            <w:noProof/>
          </w:rPr>
          <w:t>3. Phase 1, Erstkontakt</w:t>
        </w:r>
        <w:r>
          <w:rPr>
            <w:noProof/>
            <w:webHidden/>
          </w:rPr>
          <w:tab/>
        </w:r>
        <w:r>
          <w:rPr>
            <w:noProof/>
            <w:webHidden/>
          </w:rPr>
          <w:fldChar w:fldCharType="begin"/>
        </w:r>
        <w:r>
          <w:rPr>
            <w:noProof/>
            <w:webHidden/>
          </w:rPr>
          <w:instrText xml:space="preserve"> PAGEREF _Toc231740190 \h </w:instrText>
        </w:r>
        <w:r>
          <w:rPr>
            <w:noProof/>
            <w:webHidden/>
          </w:rPr>
        </w:r>
        <w:r>
          <w:rPr>
            <w:noProof/>
            <w:webHidden/>
          </w:rPr>
          <w:fldChar w:fldCharType="separate"/>
        </w:r>
        <w:r>
          <w:rPr>
            <w:noProof/>
            <w:webHidden/>
          </w:rPr>
          <w:t>2</w:t>
        </w:r>
        <w:r>
          <w:rPr>
            <w:noProof/>
            <w:webHidden/>
          </w:rPr>
          <w:fldChar w:fldCharType="end"/>
        </w:r>
      </w:hyperlink>
    </w:p>
    <w:p w14:paraId="12246181" w14:textId="77777777" w:rsidR="00E17531" w:rsidRDefault="00E17531">
      <w:pPr>
        <w:pStyle w:val="TOC1"/>
        <w:tabs>
          <w:tab w:val="right" w:leader="dot" w:pos="9736"/>
        </w:tabs>
        <w:rPr>
          <w:noProof/>
        </w:rPr>
      </w:pPr>
      <w:hyperlink w:anchor="_Toc231740191" w:history="1">
        <w:r w:rsidRPr="00A069E5">
          <w:rPr>
            <w:rStyle w:val="Hyperlink"/>
            <w:rFonts w:cs="Arial"/>
            <w:noProof/>
          </w:rPr>
          <w:t>4. Phase 2, Qualifizieren (die harte Disqualifizierung)</w:t>
        </w:r>
        <w:r>
          <w:rPr>
            <w:noProof/>
            <w:webHidden/>
          </w:rPr>
          <w:tab/>
        </w:r>
        <w:r>
          <w:rPr>
            <w:noProof/>
            <w:webHidden/>
          </w:rPr>
          <w:fldChar w:fldCharType="begin"/>
        </w:r>
        <w:r>
          <w:rPr>
            <w:noProof/>
            <w:webHidden/>
          </w:rPr>
          <w:instrText xml:space="preserve"> PAGEREF _Toc231740191 \h </w:instrText>
        </w:r>
        <w:r>
          <w:rPr>
            <w:noProof/>
            <w:webHidden/>
          </w:rPr>
        </w:r>
        <w:r>
          <w:rPr>
            <w:noProof/>
            <w:webHidden/>
          </w:rPr>
          <w:fldChar w:fldCharType="separate"/>
        </w:r>
        <w:r>
          <w:rPr>
            <w:noProof/>
            <w:webHidden/>
          </w:rPr>
          <w:t>2</w:t>
        </w:r>
        <w:r>
          <w:rPr>
            <w:noProof/>
            <w:webHidden/>
          </w:rPr>
          <w:fldChar w:fldCharType="end"/>
        </w:r>
      </w:hyperlink>
    </w:p>
    <w:p w14:paraId="18BD48CA" w14:textId="77777777" w:rsidR="00E17531" w:rsidRDefault="00E17531">
      <w:pPr>
        <w:pStyle w:val="TOC1"/>
        <w:tabs>
          <w:tab w:val="right" w:leader="dot" w:pos="9736"/>
        </w:tabs>
        <w:rPr>
          <w:noProof/>
        </w:rPr>
      </w:pPr>
      <w:hyperlink w:anchor="_Toc231740192" w:history="1">
        <w:r w:rsidRPr="00A069E5">
          <w:rPr>
            <w:rStyle w:val="Hyperlink"/>
            <w:rFonts w:cs="Arial"/>
            <w:noProof/>
          </w:rPr>
          <w:t>5. Phase 3, Vor-Ort-Aufnahme</w:t>
        </w:r>
        <w:r>
          <w:rPr>
            <w:noProof/>
            <w:webHidden/>
          </w:rPr>
          <w:tab/>
        </w:r>
        <w:r>
          <w:rPr>
            <w:noProof/>
            <w:webHidden/>
          </w:rPr>
          <w:fldChar w:fldCharType="begin"/>
        </w:r>
        <w:r>
          <w:rPr>
            <w:noProof/>
            <w:webHidden/>
          </w:rPr>
          <w:instrText xml:space="preserve"> PAGEREF _Toc231740192 \h </w:instrText>
        </w:r>
        <w:r>
          <w:rPr>
            <w:noProof/>
            <w:webHidden/>
          </w:rPr>
        </w:r>
        <w:r>
          <w:rPr>
            <w:noProof/>
            <w:webHidden/>
          </w:rPr>
          <w:fldChar w:fldCharType="separate"/>
        </w:r>
        <w:r>
          <w:rPr>
            <w:noProof/>
            <w:webHidden/>
          </w:rPr>
          <w:t>3</w:t>
        </w:r>
        <w:r>
          <w:rPr>
            <w:noProof/>
            <w:webHidden/>
          </w:rPr>
          <w:fldChar w:fldCharType="end"/>
        </w:r>
      </w:hyperlink>
    </w:p>
    <w:p w14:paraId="309E2654" w14:textId="77777777" w:rsidR="00E17531" w:rsidRDefault="00E17531">
      <w:pPr>
        <w:pStyle w:val="TOC1"/>
        <w:tabs>
          <w:tab w:val="right" w:leader="dot" w:pos="9736"/>
        </w:tabs>
        <w:rPr>
          <w:noProof/>
        </w:rPr>
      </w:pPr>
      <w:hyperlink w:anchor="_Toc231740193" w:history="1">
        <w:r w:rsidRPr="00A069E5">
          <w:rPr>
            <w:rStyle w:val="Hyperlink"/>
            <w:rFonts w:cs="Arial"/>
            <w:noProof/>
          </w:rPr>
          <w:t>6. Phase 4, Angebot</w:t>
        </w:r>
        <w:r>
          <w:rPr>
            <w:noProof/>
            <w:webHidden/>
          </w:rPr>
          <w:tab/>
        </w:r>
        <w:r>
          <w:rPr>
            <w:noProof/>
            <w:webHidden/>
          </w:rPr>
          <w:fldChar w:fldCharType="begin"/>
        </w:r>
        <w:r>
          <w:rPr>
            <w:noProof/>
            <w:webHidden/>
          </w:rPr>
          <w:instrText xml:space="preserve"> PAGEREF _Toc231740193 \h </w:instrText>
        </w:r>
        <w:r>
          <w:rPr>
            <w:noProof/>
            <w:webHidden/>
          </w:rPr>
        </w:r>
        <w:r>
          <w:rPr>
            <w:noProof/>
            <w:webHidden/>
          </w:rPr>
          <w:fldChar w:fldCharType="separate"/>
        </w:r>
        <w:r>
          <w:rPr>
            <w:noProof/>
            <w:webHidden/>
          </w:rPr>
          <w:t>3</w:t>
        </w:r>
        <w:r>
          <w:rPr>
            <w:noProof/>
            <w:webHidden/>
          </w:rPr>
          <w:fldChar w:fldCharType="end"/>
        </w:r>
      </w:hyperlink>
    </w:p>
    <w:p w14:paraId="3E314027" w14:textId="77777777" w:rsidR="00E17531" w:rsidRDefault="00E17531">
      <w:pPr>
        <w:pStyle w:val="TOC1"/>
        <w:tabs>
          <w:tab w:val="right" w:leader="dot" w:pos="9736"/>
        </w:tabs>
        <w:rPr>
          <w:noProof/>
        </w:rPr>
      </w:pPr>
      <w:hyperlink w:anchor="_Toc231740194" w:history="1">
        <w:r w:rsidRPr="00A069E5">
          <w:rPr>
            <w:rStyle w:val="Hyperlink"/>
            <w:rFonts w:cs="Arial"/>
            <w:noProof/>
          </w:rPr>
          <w:t>7. Phase 5, Abschluss</w:t>
        </w:r>
        <w:r>
          <w:rPr>
            <w:noProof/>
            <w:webHidden/>
          </w:rPr>
          <w:tab/>
        </w:r>
        <w:r>
          <w:rPr>
            <w:noProof/>
            <w:webHidden/>
          </w:rPr>
          <w:fldChar w:fldCharType="begin"/>
        </w:r>
        <w:r>
          <w:rPr>
            <w:noProof/>
            <w:webHidden/>
          </w:rPr>
          <w:instrText xml:space="preserve"> PAGEREF _Toc231740194 \h </w:instrText>
        </w:r>
        <w:r>
          <w:rPr>
            <w:noProof/>
            <w:webHidden/>
          </w:rPr>
        </w:r>
        <w:r>
          <w:rPr>
            <w:noProof/>
            <w:webHidden/>
          </w:rPr>
          <w:fldChar w:fldCharType="separate"/>
        </w:r>
        <w:r>
          <w:rPr>
            <w:noProof/>
            <w:webHidden/>
          </w:rPr>
          <w:t>3</w:t>
        </w:r>
        <w:r>
          <w:rPr>
            <w:noProof/>
            <w:webHidden/>
          </w:rPr>
          <w:fldChar w:fldCharType="end"/>
        </w:r>
      </w:hyperlink>
    </w:p>
    <w:p w14:paraId="0276F7A1" w14:textId="77777777" w:rsidR="00E17531" w:rsidRDefault="00E17531">
      <w:pPr>
        <w:pStyle w:val="TOC1"/>
        <w:tabs>
          <w:tab w:val="right" w:leader="dot" w:pos="9736"/>
        </w:tabs>
        <w:rPr>
          <w:noProof/>
        </w:rPr>
      </w:pPr>
      <w:hyperlink w:anchor="_Toc231740195" w:history="1">
        <w:r w:rsidRPr="00A069E5">
          <w:rPr>
            <w:rStyle w:val="Hyperlink"/>
            <w:rFonts w:cs="Arial"/>
            <w:noProof/>
          </w:rPr>
          <w:t>8. Phase 6, Nachfassen</w:t>
        </w:r>
        <w:r>
          <w:rPr>
            <w:noProof/>
            <w:webHidden/>
          </w:rPr>
          <w:tab/>
        </w:r>
        <w:r>
          <w:rPr>
            <w:noProof/>
            <w:webHidden/>
          </w:rPr>
          <w:fldChar w:fldCharType="begin"/>
        </w:r>
        <w:r>
          <w:rPr>
            <w:noProof/>
            <w:webHidden/>
          </w:rPr>
          <w:instrText xml:space="preserve"> PAGEREF _Toc231740195 \h </w:instrText>
        </w:r>
        <w:r>
          <w:rPr>
            <w:noProof/>
            <w:webHidden/>
          </w:rPr>
        </w:r>
        <w:r>
          <w:rPr>
            <w:noProof/>
            <w:webHidden/>
          </w:rPr>
          <w:fldChar w:fldCharType="separate"/>
        </w:r>
        <w:r>
          <w:rPr>
            <w:noProof/>
            <w:webHidden/>
          </w:rPr>
          <w:t>3</w:t>
        </w:r>
        <w:r>
          <w:rPr>
            <w:noProof/>
            <w:webHidden/>
          </w:rPr>
          <w:fldChar w:fldCharType="end"/>
        </w:r>
      </w:hyperlink>
    </w:p>
    <w:p w14:paraId="29069EB3" w14:textId="77777777" w:rsidR="00E17531" w:rsidRDefault="00E17531">
      <w:pPr>
        <w:pStyle w:val="TOC1"/>
        <w:tabs>
          <w:tab w:val="right" w:leader="dot" w:pos="9736"/>
        </w:tabs>
        <w:rPr>
          <w:noProof/>
        </w:rPr>
      </w:pPr>
      <w:hyperlink w:anchor="_Toc231740196" w:history="1">
        <w:r w:rsidRPr="00A069E5">
          <w:rPr>
            <w:rStyle w:val="Hyperlink"/>
            <w:rFonts w:cs="Arial"/>
            <w:noProof/>
          </w:rPr>
          <w:t>9. Messen Sie Ihre Abschlussquote</w:t>
        </w:r>
        <w:r>
          <w:rPr>
            <w:noProof/>
            <w:webHidden/>
          </w:rPr>
          <w:tab/>
        </w:r>
        <w:r>
          <w:rPr>
            <w:noProof/>
            <w:webHidden/>
          </w:rPr>
          <w:fldChar w:fldCharType="begin"/>
        </w:r>
        <w:r>
          <w:rPr>
            <w:noProof/>
            <w:webHidden/>
          </w:rPr>
          <w:instrText xml:space="preserve"> PAGEREF _Toc231740196 \h </w:instrText>
        </w:r>
        <w:r>
          <w:rPr>
            <w:noProof/>
            <w:webHidden/>
          </w:rPr>
        </w:r>
        <w:r>
          <w:rPr>
            <w:noProof/>
            <w:webHidden/>
          </w:rPr>
          <w:fldChar w:fldCharType="separate"/>
        </w:r>
        <w:r>
          <w:rPr>
            <w:noProof/>
            <w:webHidden/>
          </w:rPr>
          <w:t>3</w:t>
        </w:r>
        <w:r>
          <w:rPr>
            <w:noProof/>
            <w:webHidden/>
          </w:rPr>
          <w:fldChar w:fldCharType="end"/>
        </w:r>
      </w:hyperlink>
    </w:p>
    <w:p w14:paraId="7E03103E" w14:textId="77777777" w:rsidR="00E17531" w:rsidRDefault="00E17531">
      <w:pPr>
        <w:pStyle w:val="TOC1"/>
        <w:tabs>
          <w:tab w:val="right" w:leader="dot" w:pos="9736"/>
        </w:tabs>
        <w:rPr>
          <w:noProof/>
        </w:rPr>
      </w:pPr>
      <w:hyperlink w:anchor="_Toc231740197" w:history="1">
        <w:r w:rsidRPr="00A069E5">
          <w:rPr>
            <w:rStyle w:val="Hyperlink"/>
            <w:rFonts w:cs="Arial"/>
            <w:noProof/>
          </w:rPr>
          <w:t>10. Ihr nächster Schritt</w:t>
        </w:r>
        <w:r>
          <w:rPr>
            <w:noProof/>
            <w:webHidden/>
          </w:rPr>
          <w:tab/>
        </w:r>
        <w:r>
          <w:rPr>
            <w:noProof/>
            <w:webHidden/>
          </w:rPr>
          <w:fldChar w:fldCharType="begin"/>
        </w:r>
        <w:r>
          <w:rPr>
            <w:noProof/>
            <w:webHidden/>
          </w:rPr>
          <w:instrText xml:space="preserve"> PAGEREF _Toc231740197 \h </w:instrText>
        </w:r>
        <w:r>
          <w:rPr>
            <w:noProof/>
            <w:webHidden/>
          </w:rPr>
        </w:r>
        <w:r>
          <w:rPr>
            <w:noProof/>
            <w:webHidden/>
          </w:rPr>
          <w:fldChar w:fldCharType="separate"/>
        </w:r>
        <w:r>
          <w:rPr>
            <w:noProof/>
            <w:webHidden/>
          </w:rPr>
          <w:t>4</w:t>
        </w:r>
        <w:r>
          <w:rPr>
            <w:noProof/>
            <w:webHidden/>
          </w:rPr>
          <w:fldChar w:fldCharType="end"/>
        </w:r>
      </w:hyperlink>
    </w:p>
    <w:p w14:paraId="56931BD9" w14:textId="77777777" w:rsidR="00667B13" w:rsidRDefault="00000000">
      <w:r>
        <w:fldChar w:fldCharType="end"/>
      </w:r>
    </w:p>
    <w:p w14:paraId="64A0414D" w14:textId="77777777" w:rsidR="00667B13" w:rsidRDefault="00000000">
      <w:r>
        <w:br w:type="page"/>
      </w:r>
    </w:p>
    <w:p w14:paraId="72F60F45" w14:textId="77777777" w:rsidR="00667B13" w:rsidRPr="00E17531" w:rsidRDefault="00000000">
      <w:pPr>
        <w:pStyle w:val="Heading1"/>
        <w:rPr>
          <w:lang w:val="de-DE"/>
        </w:rPr>
      </w:pPr>
      <w:bookmarkStart w:id="1" w:name="_Toc231740188"/>
      <w:r w:rsidRPr="00E17531">
        <w:rPr>
          <w:rFonts w:ascii="Arial" w:hAnsi="Arial" w:cs="Arial"/>
          <w:lang w:val="de-DE"/>
        </w:rPr>
        <w:lastRenderedPageBreak/>
        <w:t>1. Worum es in diesem Leitfaden geht</w:t>
      </w:r>
      <w:bookmarkEnd w:id="1"/>
    </w:p>
    <w:p w14:paraId="64B4C446" w14:textId="77777777" w:rsidR="00667B13" w:rsidRPr="00E17531" w:rsidRDefault="00000000">
      <w:pPr>
        <w:spacing w:after="120"/>
        <w:rPr>
          <w:lang w:val="de-DE"/>
        </w:rPr>
      </w:pPr>
      <w:r w:rsidRPr="00E17531">
        <w:rPr>
          <w:rFonts w:cs="Arial"/>
          <w:lang w:val="de-DE"/>
        </w:rPr>
        <w:t>Dieser Leitfaden führt Sie durch den gesamten Verkaufsprozess für Neuaufträge, von der ersten Anfrage bis zum unterschriebenen Auftrag. Ziel ist die Kennzahl, die den Durchschnitt von den besten 10 Prozent trennt: die Abschlussquote (15 bis 25 % gegenüber 45 bis 65 %).</w:t>
      </w:r>
    </w:p>
    <w:p w14:paraId="05DA952A" w14:textId="77777777" w:rsidR="00667B13" w:rsidRPr="00E17531" w:rsidRDefault="00000000">
      <w:pPr>
        <w:spacing w:after="120"/>
        <w:rPr>
          <w:lang w:val="de-DE"/>
        </w:rPr>
      </w:pPr>
      <w:r w:rsidRPr="00E17531">
        <w:rPr>
          <w:rFonts w:cs="Arial"/>
          <w:lang w:val="de-DE"/>
        </w:rPr>
        <w:t>Abgrenzung im Kit: Die ausführliche Behandlung von Preis-Einwänden steht in Werkzeug 1, der Verkauf von Wartungsverträgen an Bestandskunden in Werkzeug 3. Dieser Leitfaden konzentriert sich auf den Weg zum Neuauftrag. Üben Sie die Antworten mit dem Einwand-Trainer (App), den vollständigen Katalog finden Sie im Einwandkatalog.</w:t>
      </w:r>
    </w:p>
    <w:p w14:paraId="2D9916AB" w14:textId="77777777" w:rsidR="00667B13" w:rsidRPr="00E17531" w:rsidRDefault="00000000">
      <w:pPr>
        <w:pStyle w:val="Heading1"/>
        <w:rPr>
          <w:lang w:val="de-DE"/>
        </w:rPr>
      </w:pPr>
      <w:bookmarkStart w:id="2" w:name="_Toc231740189"/>
      <w:r w:rsidRPr="00E17531">
        <w:rPr>
          <w:rFonts w:ascii="Arial" w:hAnsi="Arial" w:cs="Arial"/>
          <w:lang w:val="de-DE"/>
        </w:rPr>
        <w:t>2. Die Haltung: Auswahl statt Überredung</w:t>
      </w:r>
      <w:bookmarkEnd w:id="2"/>
    </w:p>
    <w:p w14:paraId="6507709D" w14:textId="77777777" w:rsidR="00667B13" w:rsidRPr="00E17531" w:rsidRDefault="00000000">
      <w:pPr>
        <w:spacing w:after="120"/>
        <w:rPr>
          <w:lang w:val="de-DE"/>
        </w:rPr>
      </w:pPr>
      <w:r w:rsidRPr="00E17531">
        <w:rPr>
          <w:rFonts w:cs="Arial"/>
          <w:lang w:val="de-DE"/>
        </w:rPr>
        <w:t>Der teuerste Fehler ist, jeden gewinnen zu wollen. Wer aus Angst vor leeren Auftragsbüchern jedem ein Angebot schreibt, produziert 75 bis 85 Prozent unbezahlten Aufwand. Die besten Betriebe drehen das um: Sie qualifizieren hart und investieren ihre Zeit nur in passende Kunden.</w:t>
      </w:r>
    </w:p>
    <w:tbl>
      <w:tblPr>
        <w:tblW w:w="0" w:type="auto"/>
        <w:jc w:val="center"/>
        <w:tblLook w:val="04A0" w:firstRow="1" w:lastRow="0" w:firstColumn="1" w:lastColumn="0" w:noHBand="0" w:noVBand="1"/>
      </w:tblPr>
      <w:tblGrid>
        <w:gridCol w:w="9746"/>
      </w:tblGrid>
      <w:tr w:rsidR="00667B13" w14:paraId="49960F89" w14:textId="77777777">
        <w:trPr>
          <w:jc w:val="center"/>
        </w:trPr>
        <w:tc>
          <w:tcPr>
            <w:tcW w:w="9746" w:type="dxa"/>
            <w:shd w:val="clear" w:color="auto" w:fill="0A0A0A"/>
            <w:tcMar>
              <w:top w:w="140" w:type="dxa"/>
              <w:left w:w="160" w:type="dxa"/>
              <w:bottom w:w="140" w:type="dxa"/>
              <w:right w:w="160" w:type="dxa"/>
            </w:tcMar>
          </w:tcPr>
          <w:p w14:paraId="697836B6" w14:textId="77777777" w:rsidR="00667B13" w:rsidRPr="00E17531" w:rsidRDefault="00000000">
            <w:pPr>
              <w:spacing w:after="60"/>
              <w:rPr>
                <w:lang w:val="de-DE"/>
              </w:rPr>
            </w:pPr>
            <w:r w:rsidRPr="00E17531">
              <w:rPr>
                <w:rFonts w:cs="Arial"/>
                <w:b/>
                <w:color w:val="FBCE3C"/>
                <w:sz w:val="20"/>
                <w:lang w:val="de-DE"/>
              </w:rPr>
              <w:t>MERKSATZ</w:t>
            </w:r>
          </w:p>
          <w:p w14:paraId="43D7D1BD" w14:textId="77777777" w:rsidR="00667B13" w:rsidRDefault="00000000">
            <w:pPr>
              <w:spacing w:after="0"/>
            </w:pPr>
            <w:r w:rsidRPr="00E17531">
              <w:rPr>
                <w:rFonts w:cs="Arial"/>
                <w:color w:val="FFFFFF"/>
                <w:sz w:val="21"/>
                <w:lang w:val="de-DE"/>
              </w:rPr>
              <w:t xml:space="preserve">Sie müssen nicht jeden überzeugen. </w:t>
            </w:r>
            <w:r>
              <w:rPr>
                <w:rFonts w:cs="Arial"/>
                <w:color w:val="FFFFFF"/>
                <w:sz w:val="21"/>
              </w:rPr>
              <w:t>Sie müssen die Richtigen auswählen.</w:t>
            </w:r>
          </w:p>
        </w:tc>
      </w:tr>
    </w:tbl>
    <w:p w14:paraId="1CDEC660" w14:textId="77777777" w:rsidR="00667B13" w:rsidRDefault="00667B13">
      <w:pPr>
        <w:spacing w:after="120"/>
      </w:pPr>
    </w:p>
    <w:p w14:paraId="296D0EEB" w14:textId="77777777" w:rsidR="00667B13" w:rsidRDefault="00000000">
      <w:pPr>
        <w:pStyle w:val="Heading1"/>
      </w:pPr>
      <w:bookmarkStart w:id="3" w:name="_Toc231740190"/>
      <w:r>
        <w:rPr>
          <w:rFonts w:ascii="Arial" w:hAnsi="Arial" w:cs="Arial"/>
        </w:rPr>
        <w:t>3. Phase 1, Erstkontakt</w:t>
      </w:r>
      <w:bookmarkEnd w:id="3"/>
    </w:p>
    <w:p w14:paraId="57E21022" w14:textId="77777777" w:rsidR="00667B13" w:rsidRDefault="00000000">
      <w:pPr>
        <w:spacing w:after="120"/>
      </w:pPr>
      <w:r>
        <w:rPr>
          <w:rFonts w:cs="Arial"/>
        </w:rPr>
        <w:t>Der erste Eindruck setzt den Anker. Wer als Erster und am professionellsten reagiert, führt das Rennen an, bevor der erste Handgriff getan ist.</w:t>
      </w:r>
    </w:p>
    <w:p w14:paraId="1691BC20" w14:textId="77777777" w:rsidR="00667B13" w:rsidRDefault="00000000">
      <w:pPr>
        <w:pStyle w:val="ListBullet"/>
        <w:spacing w:after="60"/>
      </w:pPr>
      <w:r>
        <w:rPr>
          <w:rFonts w:cs="Arial"/>
          <w:b/>
          <w:color w:val="0A0A0A"/>
        </w:rPr>
        <w:t xml:space="preserve">Schnell reagieren. </w:t>
      </w:r>
      <w:r>
        <w:rPr>
          <w:rFonts w:cs="Arial"/>
        </w:rPr>
        <w:t>Anfragen am selben Tag beantworten, Geschwindigkeit schlägt Eloquenz.</w:t>
      </w:r>
    </w:p>
    <w:p w14:paraId="6FEACDF2" w14:textId="77777777" w:rsidR="00667B13" w:rsidRDefault="00000000">
      <w:pPr>
        <w:pStyle w:val="ListBullet"/>
        <w:spacing w:after="60"/>
      </w:pPr>
      <w:r>
        <w:rPr>
          <w:rFonts w:cs="Arial"/>
          <w:b/>
          <w:color w:val="0A0A0A"/>
        </w:rPr>
        <w:t xml:space="preserve">Professionell wirken. </w:t>
      </w:r>
      <w:r>
        <w:rPr>
          <w:rFonts w:cs="Arial"/>
        </w:rPr>
        <w:t>Freundlich, klar, verbindlich auftreten, am Telefon wie schriftlich.</w:t>
      </w:r>
    </w:p>
    <w:p w14:paraId="1DEBB135" w14:textId="77777777" w:rsidR="00667B13" w:rsidRDefault="00000000">
      <w:pPr>
        <w:pStyle w:val="ListBullet"/>
        <w:spacing w:after="60"/>
      </w:pPr>
      <w:r>
        <w:rPr>
          <w:rFonts w:cs="Arial"/>
          <w:b/>
          <w:color w:val="0A0A0A"/>
        </w:rPr>
        <w:t xml:space="preserve">Weichen stellen. </w:t>
      </w:r>
      <w:r>
        <w:rPr>
          <w:rFonts w:cs="Arial"/>
        </w:rPr>
        <w:t>Schon hier zur Qualifizierung überleiten, nicht sofort ein Angebot versprechen.</w:t>
      </w:r>
    </w:p>
    <w:p w14:paraId="75F9EE21" w14:textId="77777777" w:rsidR="00667B13" w:rsidRDefault="00000000">
      <w:pPr>
        <w:pStyle w:val="Heading1"/>
      </w:pPr>
      <w:bookmarkStart w:id="4" w:name="_Toc231740191"/>
      <w:r>
        <w:rPr>
          <w:rFonts w:ascii="Arial" w:hAnsi="Arial" w:cs="Arial"/>
        </w:rPr>
        <w:t>4. Phase 2, Qualifizieren (die harte Disqualifizierung)</w:t>
      </w:r>
      <w:bookmarkEnd w:id="4"/>
    </w:p>
    <w:p w14:paraId="10316AD1" w14:textId="77777777" w:rsidR="00667B13" w:rsidRDefault="00000000">
      <w:pPr>
        <w:spacing w:after="120"/>
      </w:pPr>
      <w:r>
        <w:rPr>
          <w:rFonts w:cs="Arial"/>
        </w:rPr>
        <w:t>Bevor Sie Zeit in Planung oder einen Vor-Ort-Termin investieren. Prüfen Sie am Telefon drei Dinge. Passt eines davon klar nicht, sagen Sie höflich ab, das schützt Ihre wertvollste Ressource: die Zeit Ihrer Fachleute.</w:t>
      </w:r>
    </w:p>
    <w:tbl>
      <w:tblPr>
        <w:tblStyle w:val="TableGrid"/>
        <w:tblW w:w="0" w:type="auto"/>
        <w:jc w:val="center"/>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ook w:val="04A0" w:firstRow="1" w:lastRow="0" w:firstColumn="1" w:lastColumn="0" w:noHBand="0" w:noVBand="1"/>
      </w:tblPr>
      <w:tblGrid>
        <w:gridCol w:w="3456"/>
        <w:gridCol w:w="6236"/>
      </w:tblGrid>
      <w:tr w:rsidR="00667B13" w14:paraId="605C83A7" w14:textId="77777777" w:rsidTr="00E17531">
        <w:trPr>
          <w:jc w:val="center"/>
        </w:trPr>
        <w:tc>
          <w:tcPr>
            <w:tcW w:w="3456" w:type="dxa"/>
            <w:shd w:val="clear" w:color="auto" w:fill="333333"/>
            <w:tcMar>
              <w:top w:w="80" w:type="dxa"/>
              <w:left w:w="120" w:type="dxa"/>
              <w:bottom w:w="80" w:type="dxa"/>
              <w:right w:w="120" w:type="dxa"/>
            </w:tcMar>
          </w:tcPr>
          <w:p w14:paraId="52DB8CF2" w14:textId="77777777" w:rsidR="00667B13" w:rsidRDefault="00000000">
            <w:r>
              <w:rPr>
                <w:rFonts w:cs="Arial"/>
                <w:b/>
                <w:color w:val="FFFFFF"/>
                <w:sz w:val="19"/>
              </w:rPr>
              <w:t>Prüfen Sie</w:t>
            </w:r>
          </w:p>
        </w:tc>
        <w:tc>
          <w:tcPr>
            <w:tcW w:w="6236" w:type="dxa"/>
            <w:shd w:val="clear" w:color="auto" w:fill="333333"/>
            <w:tcMar>
              <w:top w:w="80" w:type="dxa"/>
              <w:left w:w="120" w:type="dxa"/>
              <w:bottom w:w="80" w:type="dxa"/>
              <w:right w:w="120" w:type="dxa"/>
            </w:tcMar>
          </w:tcPr>
          <w:p w14:paraId="4BBB0285" w14:textId="77777777" w:rsidR="00667B13" w:rsidRDefault="00000000">
            <w:r>
              <w:rPr>
                <w:rFonts w:cs="Arial"/>
                <w:b/>
                <w:color w:val="FFFFFF"/>
                <w:sz w:val="19"/>
              </w:rPr>
              <w:t>Beispiel-Frage</w:t>
            </w:r>
          </w:p>
        </w:tc>
      </w:tr>
      <w:tr w:rsidR="00667B13" w14:paraId="66994A6F" w14:textId="77777777" w:rsidTr="00E17531">
        <w:trPr>
          <w:jc w:val="center"/>
        </w:trPr>
        <w:tc>
          <w:tcPr>
            <w:tcW w:w="3456" w:type="dxa"/>
            <w:tcMar>
              <w:top w:w="80" w:type="dxa"/>
              <w:left w:w="120" w:type="dxa"/>
              <w:bottom w:w="80" w:type="dxa"/>
              <w:right w:w="120" w:type="dxa"/>
            </w:tcMar>
          </w:tcPr>
          <w:p w14:paraId="5833879E" w14:textId="77777777" w:rsidR="00667B13" w:rsidRDefault="00000000">
            <w:r>
              <w:rPr>
                <w:rFonts w:cs="Arial"/>
                <w:b/>
                <w:sz w:val="20"/>
              </w:rPr>
              <w:t>Budget</w:t>
            </w:r>
          </w:p>
        </w:tc>
        <w:tc>
          <w:tcPr>
            <w:tcW w:w="6236" w:type="dxa"/>
            <w:tcMar>
              <w:top w:w="80" w:type="dxa"/>
              <w:left w:w="120" w:type="dxa"/>
              <w:bottom w:w="80" w:type="dxa"/>
              <w:right w:w="120" w:type="dxa"/>
            </w:tcMar>
          </w:tcPr>
          <w:p w14:paraId="4BE68C18" w14:textId="77777777" w:rsidR="00667B13" w:rsidRDefault="00000000">
            <w:r>
              <w:rPr>
                <w:rFonts w:cs="Arial"/>
                <w:sz w:val="20"/>
              </w:rPr>
              <w:t>Haben Sie für das Projekt eine Größenordnung im Kopf?</w:t>
            </w:r>
          </w:p>
        </w:tc>
      </w:tr>
      <w:tr w:rsidR="00667B13" w14:paraId="5B03413D" w14:textId="77777777" w:rsidTr="00E17531">
        <w:trPr>
          <w:jc w:val="center"/>
        </w:trPr>
        <w:tc>
          <w:tcPr>
            <w:tcW w:w="3456" w:type="dxa"/>
            <w:tcMar>
              <w:top w:w="80" w:type="dxa"/>
              <w:left w:w="120" w:type="dxa"/>
              <w:bottom w:w="80" w:type="dxa"/>
              <w:right w:w="120" w:type="dxa"/>
            </w:tcMar>
          </w:tcPr>
          <w:p w14:paraId="21C97CBC" w14:textId="77777777" w:rsidR="00667B13" w:rsidRDefault="00000000">
            <w:r>
              <w:rPr>
                <w:rFonts w:cs="Arial"/>
                <w:b/>
                <w:sz w:val="20"/>
              </w:rPr>
              <w:t>Zeitrahmen</w:t>
            </w:r>
          </w:p>
        </w:tc>
        <w:tc>
          <w:tcPr>
            <w:tcW w:w="6236" w:type="dxa"/>
            <w:tcMar>
              <w:top w:w="80" w:type="dxa"/>
              <w:left w:w="120" w:type="dxa"/>
              <w:bottom w:w="80" w:type="dxa"/>
              <w:right w:w="120" w:type="dxa"/>
            </w:tcMar>
          </w:tcPr>
          <w:p w14:paraId="49C30E2A" w14:textId="77777777" w:rsidR="00667B13" w:rsidRDefault="00000000">
            <w:r>
              <w:rPr>
                <w:rFonts w:cs="Arial"/>
                <w:sz w:val="20"/>
              </w:rPr>
              <w:t>Bis wann soll es fertig sein?</w:t>
            </w:r>
          </w:p>
        </w:tc>
      </w:tr>
      <w:tr w:rsidR="00667B13" w14:paraId="13759BB8" w14:textId="77777777" w:rsidTr="00E17531">
        <w:trPr>
          <w:jc w:val="center"/>
        </w:trPr>
        <w:tc>
          <w:tcPr>
            <w:tcW w:w="3456" w:type="dxa"/>
            <w:tcMar>
              <w:top w:w="80" w:type="dxa"/>
              <w:left w:w="120" w:type="dxa"/>
              <w:bottom w:w="80" w:type="dxa"/>
              <w:right w:w="120" w:type="dxa"/>
            </w:tcMar>
          </w:tcPr>
          <w:p w14:paraId="26EAB527" w14:textId="77777777" w:rsidR="00667B13" w:rsidRDefault="00000000">
            <w:r>
              <w:rPr>
                <w:rFonts w:cs="Arial"/>
                <w:b/>
                <w:sz w:val="20"/>
              </w:rPr>
              <w:t>Entscheider</w:t>
            </w:r>
          </w:p>
        </w:tc>
        <w:tc>
          <w:tcPr>
            <w:tcW w:w="6236" w:type="dxa"/>
            <w:tcMar>
              <w:top w:w="80" w:type="dxa"/>
              <w:left w:w="120" w:type="dxa"/>
              <w:bottom w:w="80" w:type="dxa"/>
              <w:right w:w="120" w:type="dxa"/>
            </w:tcMar>
          </w:tcPr>
          <w:p w14:paraId="1534538A" w14:textId="77777777" w:rsidR="00667B13" w:rsidRDefault="00000000">
            <w:r>
              <w:rPr>
                <w:rFonts w:cs="Arial"/>
                <w:sz w:val="20"/>
              </w:rPr>
              <w:t>Entscheiden Sie allein, oder ist noch jemand beteiligt?</w:t>
            </w:r>
          </w:p>
        </w:tc>
      </w:tr>
    </w:tbl>
    <w:p w14:paraId="21E3995E" w14:textId="77777777" w:rsidR="00667B13" w:rsidRDefault="00667B13">
      <w:pPr>
        <w:spacing w:after="120"/>
      </w:pPr>
    </w:p>
    <w:p w14:paraId="337F757A" w14:textId="77777777" w:rsidR="00667B13" w:rsidRDefault="00000000">
      <w:pPr>
        <w:spacing w:after="120"/>
      </w:pPr>
      <w:r>
        <w:rPr>
          <w:rFonts w:cs="Arial"/>
        </w:rPr>
        <w:t>Eine höfliche Absage ist kein Verlust, sondern eine Investition in Ihre Abschlussquote: „Ehrlich gesagt sind wir dafür nicht der passende Betrieb, ich möchte Ihnen kein Angebot machen, das nicht zu Ihren Vorstellungen passt.“</w:t>
      </w:r>
    </w:p>
    <w:p w14:paraId="3BCAAA5A" w14:textId="77777777" w:rsidR="00667B13" w:rsidRDefault="00000000">
      <w:pPr>
        <w:pStyle w:val="Heading1"/>
      </w:pPr>
      <w:bookmarkStart w:id="5" w:name="_Toc231740192"/>
      <w:r>
        <w:rPr>
          <w:rFonts w:ascii="Arial" w:hAnsi="Arial" w:cs="Arial"/>
        </w:rPr>
        <w:lastRenderedPageBreak/>
        <w:t>5. Phase 3, Vor-Ort-Aufnahme</w:t>
      </w:r>
      <w:bookmarkEnd w:id="5"/>
    </w:p>
    <w:p w14:paraId="68F62126" w14:textId="77777777" w:rsidR="00667B13" w:rsidRDefault="00000000">
      <w:pPr>
        <w:spacing w:after="120"/>
      </w:pPr>
      <w:r>
        <w:rPr>
          <w:rFonts w:cs="Arial"/>
        </w:rPr>
        <w:t>Hier entstehen Vertrauen und Auftragswert. Wer zuhört und den echten Bedarf ermittelt, verkauft die passende Lösung statt der billigsten.</w:t>
      </w:r>
    </w:p>
    <w:p w14:paraId="4562A292" w14:textId="77777777" w:rsidR="00667B13" w:rsidRDefault="00000000">
      <w:pPr>
        <w:pStyle w:val="ListBullet"/>
        <w:spacing w:after="60"/>
      </w:pPr>
      <w:r>
        <w:rPr>
          <w:rFonts w:cs="Arial"/>
          <w:b/>
          <w:color w:val="0A0A0A"/>
        </w:rPr>
        <w:t xml:space="preserve">Bedarf ermitteln. </w:t>
      </w:r>
      <w:r>
        <w:rPr>
          <w:rFonts w:cs="Arial"/>
        </w:rPr>
        <w:t>Erst fragen, dann vorschlagen, eine echte Bedarfsanalyse statt Standardlösung.</w:t>
      </w:r>
    </w:p>
    <w:p w14:paraId="740386DD" w14:textId="77777777" w:rsidR="00667B13" w:rsidRDefault="00000000">
      <w:pPr>
        <w:pStyle w:val="ListBullet"/>
        <w:spacing w:after="60"/>
      </w:pPr>
      <w:r>
        <w:rPr>
          <w:rFonts w:cs="Arial"/>
          <w:b/>
          <w:color w:val="0A0A0A"/>
        </w:rPr>
        <w:t xml:space="preserve">Wert zeigen. </w:t>
      </w:r>
      <w:r>
        <w:rPr>
          <w:rFonts w:cs="Arial"/>
        </w:rPr>
        <w:t>Den Nutzen für den Kunden sichtbar machen: Sicherheit, Tempo, eine Sorge weniger.</w:t>
      </w:r>
    </w:p>
    <w:p w14:paraId="4659C598" w14:textId="77777777" w:rsidR="00667B13" w:rsidRDefault="00000000">
      <w:pPr>
        <w:pStyle w:val="ListBullet"/>
        <w:spacing w:after="60"/>
      </w:pPr>
      <w:r>
        <w:rPr>
          <w:rFonts w:cs="Arial"/>
          <w:b/>
          <w:color w:val="0A0A0A"/>
        </w:rPr>
        <w:t xml:space="preserve">Eindruck hinterlassen. </w:t>
      </w:r>
      <w:r>
        <w:rPr>
          <w:rFonts w:cs="Arial"/>
        </w:rPr>
        <w:t>Sauberes Auftreten, klare Kommunikation, der Kunde erlebt Qualität, bevor er sie beurteilen kann.</w:t>
      </w:r>
    </w:p>
    <w:p w14:paraId="7CFE350D" w14:textId="77777777" w:rsidR="00667B13" w:rsidRDefault="00000000">
      <w:pPr>
        <w:pStyle w:val="Heading1"/>
      </w:pPr>
      <w:bookmarkStart w:id="6" w:name="_Toc231740193"/>
      <w:r>
        <w:rPr>
          <w:rFonts w:ascii="Arial" w:hAnsi="Arial" w:cs="Arial"/>
        </w:rPr>
        <w:t>6. Phase 4, Angebot</w:t>
      </w:r>
      <w:bookmarkEnd w:id="6"/>
    </w:p>
    <w:p w14:paraId="3F4635F3" w14:textId="77777777" w:rsidR="00667B13" w:rsidRDefault="00000000">
      <w:pPr>
        <w:spacing w:after="120"/>
      </w:pPr>
      <w:r>
        <w:rPr>
          <w:rFonts w:cs="Arial"/>
        </w:rPr>
        <w:t>Liefern Sie schnell (1 bis 3 Tage) und als Festpreis-Paket, nicht als Positionsliste. Der Preis folgt dem Wert. Die Methode dazu, wertorientierte Paketbildung und Preis-Einwände, liefert Werkzeug 1.</w:t>
      </w:r>
    </w:p>
    <w:tbl>
      <w:tblPr>
        <w:tblW w:w="0" w:type="auto"/>
        <w:jc w:val="center"/>
        <w:tblLook w:val="04A0" w:firstRow="1" w:lastRow="0" w:firstColumn="1" w:lastColumn="0" w:noHBand="0" w:noVBand="1"/>
      </w:tblPr>
      <w:tblGrid>
        <w:gridCol w:w="9746"/>
      </w:tblGrid>
      <w:tr w:rsidR="00667B13" w14:paraId="2C80DCB5" w14:textId="77777777">
        <w:trPr>
          <w:jc w:val="center"/>
        </w:trPr>
        <w:tc>
          <w:tcPr>
            <w:tcW w:w="9746" w:type="dxa"/>
            <w:shd w:val="clear" w:color="auto" w:fill="FAFAFA"/>
            <w:tcMar>
              <w:top w:w="140" w:type="dxa"/>
              <w:left w:w="160" w:type="dxa"/>
              <w:bottom w:w="140" w:type="dxa"/>
              <w:right w:w="160" w:type="dxa"/>
            </w:tcMar>
          </w:tcPr>
          <w:p w14:paraId="03907948" w14:textId="77777777" w:rsidR="00667B13" w:rsidRDefault="00000000">
            <w:pPr>
              <w:spacing w:after="60"/>
            </w:pPr>
            <w:r>
              <w:rPr>
                <w:rFonts w:cs="Arial"/>
                <w:b/>
                <w:sz w:val="20"/>
              </w:rPr>
              <w:t>VERWEIS</w:t>
            </w:r>
          </w:p>
          <w:p w14:paraId="58897601" w14:textId="77777777" w:rsidR="00667B13" w:rsidRDefault="00000000">
            <w:pPr>
              <w:spacing w:after="0"/>
            </w:pPr>
            <w:r>
              <w:rPr>
                <w:rFonts w:cs="Arial"/>
                <w:color w:val="0A0A0A"/>
                <w:sz w:val="21"/>
              </w:rPr>
              <w:t>Wert-Hebel, Paketbildung und Preis-Einwandbehandlung: Werkzeug 1 (Wertorientierte Preisgestaltung).</w:t>
            </w:r>
          </w:p>
        </w:tc>
      </w:tr>
    </w:tbl>
    <w:p w14:paraId="669FC526" w14:textId="77777777" w:rsidR="00667B13" w:rsidRDefault="00667B13">
      <w:pPr>
        <w:spacing w:after="120"/>
      </w:pPr>
    </w:p>
    <w:p w14:paraId="1A5B21E4" w14:textId="77777777" w:rsidR="00667B13" w:rsidRDefault="00000000">
      <w:pPr>
        <w:pStyle w:val="Heading1"/>
      </w:pPr>
      <w:bookmarkStart w:id="7" w:name="_Toc231740194"/>
      <w:r>
        <w:rPr>
          <w:rFonts w:ascii="Arial" w:hAnsi="Arial" w:cs="Arial"/>
        </w:rPr>
        <w:t>7. Phase 5, Abschluss</w:t>
      </w:r>
      <w:bookmarkEnd w:id="7"/>
    </w:p>
    <w:p w14:paraId="352FEE90" w14:textId="77777777" w:rsidR="00667B13" w:rsidRDefault="00000000">
      <w:pPr>
        <w:spacing w:after="120"/>
      </w:pPr>
      <w:r>
        <w:rPr>
          <w:rFonts w:cs="Arial"/>
        </w:rPr>
        <w:t>Führen Sie aktiv zum Ja. Nach der Präsentation nicht ins Schweigen verfallen, sondern den nächsten Schritt anbieten.</w:t>
      </w:r>
    </w:p>
    <w:p w14:paraId="0ADFCFC6" w14:textId="77777777" w:rsidR="00667B13" w:rsidRDefault="00000000">
      <w:pPr>
        <w:pStyle w:val="ListBullet"/>
        <w:spacing w:after="60"/>
      </w:pPr>
      <w:r>
        <w:rPr>
          <w:rFonts w:cs="Arial"/>
          <w:b/>
          <w:color w:val="0A0A0A"/>
        </w:rPr>
        <w:t xml:space="preserve">Direkt führen. </w:t>
      </w:r>
      <w:r>
        <w:rPr>
          <w:rFonts w:cs="Arial"/>
        </w:rPr>
        <w:t>Annahme-Abschluss: „Sollen wir den Termin gleich für die übernächste Woche einplanen?“</w:t>
      </w:r>
    </w:p>
    <w:p w14:paraId="4732A104" w14:textId="77777777" w:rsidR="00667B13" w:rsidRDefault="00000000">
      <w:pPr>
        <w:pStyle w:val="ListBullet"/>
        <w:spacing w:after="60"/>
      </w:pPr>
      <w:r>
        <w:rPr>
          <w:rFonts w:cs="Arial"/>
          <w:b/>
          <w:color w:val="0A0A0A"/>
        </w:rPr>
        <w:t xml:space="preserve">Wahl statt Ja/Nein. </w:t>
      </w:r>
      <w:r>
        <w:rPr>
          <w:rFonts w:cs="Arial"/>
        </w:rPr>
        <w:t>Stufen-Abschluss: zwei Varianten anbieten, die Frage ist welche, nicht ob.</w:t>
      </w:r>
    </w:p>
    <w:p w14:paraId="7C57F83B" w14:textId="77777777" w:rsidR="00667B13" w:rsidRDefault="00000000">
      <w:pPr>
        <w:pStyle w:val="ListBullet"/>
        <w:spacing w:after="60"/>
      </w:pPr>
      <w:r>
        <w:rPr>
          <w:rFonts w:cs="Arial"/>
          <w:b/>
          <w:color w:val="0A0A0A"/>
        </w:rPr>
        <w:t xml:space="preserve">Einwand, dann Abschluss. </w:t>
      </w:r>
      <w:r>
        <w:rPr>
          <w:rFonts w:cs="Arial"/>
        </w:rPr>
        <w:t>Einwände ruhig behandeln (siehe Einwandkatalog), dann erneut zum Abschluss führen.</w:t>
      </w:r>
    </w:p>
    <w:p w14:paraId="55DAF135" w14:textId="77777777" w:rsidR="00667B13" w:rsidRDefault="00000000">
      <w:pPr>
        <w:pStyle w:val="Heading1"/>
      </w:pPr>
      <w:bookmarkStart w:id="8" w:name="_Toc231740195"/>
      <w:r>
        <w:rPr>
          <w:rFonts w:ascii="Arial" w:hAnsi="Arial" w:cs="Arial"/>
        </w:rPr>
        <w:t>8. Phase 6, Nachfassen</w:t>
      </w:r>
      <w:bookmarkEnd w:id="8"/>
    </w:p>
    <w:p w14:paraId="4B646F2C" w14:textId="77777777" w:rsidR="00667B13" w:rsidRDefault="00000000">
      <w:pPr>
        <w:spacing w:after="120"/>
      </w:pPr>
      <w:r>
        <w:rPr>
          <w:rFonts w:cs="Arial"/>
        </w:rPr>
        <w:t>Die meisten Aufträge gehen nicht verloren, sondern verlaufen im Sand. Verbindliches Nachfassen entscheidet.</w:t>
      </w:r>
    </w:p>
    <w:p w14:paraId="6709BA8E" w14:textId="77777777" w:rsidR="00667B13" w:rsidRDefault="00000000">
      <w:pPr>
        <w:pStyle w:val="ListBullet"/>
        <w:spacing w:after="60"/>
      </w:pPr>
      <w:r>
        <w:rPr>
          <w:rFonts w:cs="Arial"/>
          <w:b/>
          <w:color w:val="0A0A0A"/>
        </w:rPr>
        <w:t xml:space="preserve">Termin setzen. </w:t>
      </w:r>
      <w:r>
        <w:rPr>
          <w:rFonts w:cs="Arial"/>
        </w:rPr>
        <w:t>Beim Angebot direkt einen Nachfass-Termin vereinbaren, nicht auf Rückmeldung warten.</w:t>
      </w:r>
    </w:p>
    <w:p w14:paraId="7B46D60A" w14:textId="77777777" w:rsidR="00667B13" w:rsidRDefault="00000000">
      <w:pPr>
        <w:pStyle w:val="ListBullet"/>
        <w:spacing w:after="60"/>
      </w:pPr>
      <w:r>
        <w:rPr>
          <w:rFonts w:cs="Arial"/>
          <w:b/>
          <w:color w:val="0A0A0A"/>
        </w:rPr>
        <w:t xml:space="preserve">Wert betonen. </w:t>
      </w:r>
      <w:r>
        <w:rPr>
          <w:rFonts w:cs="Arial"/>
        </w:rPr>
        <w:t>Im Nachfassen den Wert wiederholen, nicht nur den Preis nennen.</w:t>
      </w:r>
    </w:p>
    <w:p w14:paraId="678E3285" w14:textId="77777777" w:rsidR="00667B13" w:rsidRDefault="00000000">
      <w:pPr>
        <w:pStyle w:val="ListBullet"/>
        <w:spacing w:after="60"/>
      </w:pPr>
      <w:r>
        <w:rPr>
          <w:rFonts w:cs="Arial"/>
          <w:b/>
          <w:color w:val="0A0A0A"/>
        </w:rPr>
        <w:t xml:space="preserve">Aus Absagen lernen. </w:t>
      </w:r>
      <w:r>
        <w:rPr>
          <w:rFonts w:cs="Arial"/>
        </w:rPr>
        <w:t>Nach einem Nein höflich nach dem Grund fragen, das verbessert das nächste Angebot.</w:t>
      </w:r>
    </w:p>
    <w:p w14:paraId="5534FFF1" w14:textId="77777777" w:rsidR="00667B13" w:rsidRDefault="00000000">
      <w:pPr>
        <w:pStyle w:val="Heading1"/>
      </w:pPr>
      <w:bookmarkStart w:id="9" w:name="_Toc231740196"/>
      <w:r>
        <w:rPr>
          <w:rFonts w:ascii="Arial" w:hAnsi="Arial" w:cs="Arial"/>
        </w:rPr>
        <w:t>9. Messen Sie Ihre Abschlussquote</w:t>
      </w:r>
      <w:bookmarkEnd w:id="9"/>
    </w:p>
    <w:p w14:paraId="6D4BA268" w14:textId="77777777" w:rsidR="00667B13" w:rsidRDefault="00000000">
      <w:pPr>
        <w:spacing w:after="120"/>
      </w:pPr>
      <w:r>
        <w:rPr>
          <w:rFonts w:cs="Arial"/>
        </w:rPr>
        <w:t>Was man nicht misst, kann man nicht verbessern. Notieren Sie über drei Monate: abgegebene Angebote und gewonnene Aufträge. Steigt die Quote, wirkt der Prozess. Bleibt sie niedrig, liegt es meist an zu schwacher Qualifizierung (Phase 2).</w:t>
      </w:r>
    </w:p>
    <w:p w14:paraId="09A2522A" w14:textId="77777777" w:rsidR="00667B13" w:rsidRDefault="00000000">
      <w:pPr>
        <w:pStyle w:val="Heading1"/>
      </w:pPr>
      <w:bookmarkStart w:id="10" w:name="_Toc231740197"/>
      <w:r>
        <w:rPr>
          <w:rFonts w:ascii="Arial" w:hAnsi="Arial" w:cs="Arial"/>
        </w:rPr>
        <w:lastRenderedPageBreak/>
        <w:t>10. Ihr nächster Schritt</w:t>
      </w:r>
      <w:bookmarkEnd w:id="10"/>
    </w:p>
    <w:p w14:paraId="3336DBC4" w14:textId="77777777" w:rsidR="00667B13" w:rsidRDefault="00000000">
      <w:pPr>
        <w:spacing w:after="120"/>
      </w:pPr>
      <w:r>
        <w:rPr>
          <w:rFonts w:cs="Arial"/>
        </w:rPr>
        <w:t>Üben Sie die häufigsten Einwände mit dem Einwand-Trainer, bis die Antworten sitzen. Nehmen Sie den Einwandkatalog als Nachschlagewerk ins Kundengespräch. Und denken Sie nach dem gewonnenen Auftrag an den Anschlussverkauf: den Wartungsvertrag aus Werkzeug 3.</w:t>
      </w:r>
    </w:p>
    <w:p w14:paraId="5A99C51E" w14:textId="77777777" w:rsidR="00667B13" w:rsidRDefault="00667B13">
      <w:pPr>
        <w:pBdr>
          <w:bottom w:val="single" w:sz="24" w:space="1" w:color="FBCE3C"/>
        </w:pBdr>
        <w:spacing w:after="80"/>
      </w:pPr>
    </w:p>
    <w:p w14:paraId="582C04B6" w14:textId="77777777" w:rsidR="00667B13" w:rsidRDefault="00000000">
      <w:pPr>
        <w:spacing w:after="0"/>
      </w:pPr>
      <w:r>
        <w:rPr>
          <w:rFonts w:cs="Arial"/>
          <w:i/>
          <w:color w:val="888888"/>
          <w:sz w:val="16"/>
        </w:rPr>
        <w:t>Betriebswirtschaftliche Orientierungshilfe. Keine Rechts- oder Steuerberatung. © Vorsprung Handwerk GmbH, Nürtingen.</w:t>
      </w:r>
    </w:p>
    <w:sectPr w:rsidR="00667B13"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8A8C2" w14:textId="77777777" w:rsidR="0022494F" w:rsidRDefault="0022494F">
      <w:pPr>
        <w:spacing w:after="0" w:line="240" w:lineRule="auto"/>
      </w:pPr>
      <w:r>
        <w:separator/>
      </w:r>
    </w:p>
  </w:endnote>
  <w:endnote w:type="continuationSeparator" w:id="0">
    <w:p w14:paraId="1AC3C8C0" w14:textId="77777777" w:rsidR="0022494F" w:rsidRDefault="00224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BA91" w14:textId="77777777" w:rsidR="00667B13" w:rsidRPr="00E17531" w:rsidRDefault="00000000">
    <w:pPr>
      <w:pStyle w:val="Footer"/>
      <w:rPr>
        <w:lang w:val="de-DE"/>
      </w:rPr>
    </w:pPr>
    <w:r w:rsidRPr="00E17531">
      <w:rPr>
        <w:rFonts w:cs="Arial"/>
        <w:color w:val="888888"/>
        <w:sz w:val="16"/>
        <w:lang w:val="de-DE"/>
      </w:rPr>
      <w:t xml:space="preserve">HandwerkStars · Vorsprung Handwerk GmbH · handwerkstars.de   |   Werkzeug 5 · Verkaufsleitfaden   |   Seite </w:t>
    </w:r>
    <w:r>
      <w:rPr>
        <w:color w:val="888888"/>
        <w:sz w:val="16"/>
      </w:rPr>
      <w:fldChar w:fldCharType="begin"/>
    </w:r>
    <w:r w:rsidRPr="00E17531">
      <w:rPr>
        <w:color w:val="888888"/>
        <w:sz w:val="16"/>
        <w:lang w:val="de-DE"/>
      </w:rPr>
      <w:instrText>PAGE</w:instrText>
    </w:r>
    <w:r w:rsidR="00E17531">
      <w:rPr>
        <w:color w:val="888888"/>
        <w:sz w:val="16"/>
      </w:rPr>
      <w:fldChar w:fldCharType="separate"/>
    </w:r>
    <w:r w:rsidR="00E17531" w:rsidRPr="00E17531">
      <w:rPr>
        <w:noProof/>
        <w:color w:val="888888"/>
        <w:sz w:val="16"/>
        <w:lang w:val="de-DE"/>
      </w:rPr>
      <w:t>1</w:t>
    </w:r>
    <w:r>
      <w:rPr>
        <w:color w:val="88888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16606" w14:textId="77777777" w:rsidR="0022494F" w:rsidRDefault="0022494F">
      <w:pPr>
        <w:spacing w:after="0" w:line="240" w:lineRule="auto"/>
      </w:pPr>
      <w:r>
        <w:separator/>
      </w:r>
    </w:p>
  </w:footnote>
  <w:footnote w:type="continuationSeparator" w:id="0">
    <w:p w14:paraId="20724F86" w14:textId="77777777" w:rsidR="0022494F" w:rsidRDefault="002249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6187133">
    <w:abstractNumId w:val="8"/>
  </w:num>
  <w:num w:numId="2" w16cid:durableId="648823144">
    <w:abstractNumId w:val="6"/>
  </w:num>
  <w:num w:numId="3" w16cid:durableId="2117555278">
    <w:abstractNumId w:val="5"/>
  </w:num>
  <w:num w:numId="4" w16cid:durableId="147601535">
    <w:abstractNumId w:val="4"/>
  </w:num>
  <w:num w:numId="5" w16cid:durableId="1257403985">
    <w:abstractNumId w:val="7"/>
  </w:num>
  <w:num w:numId="6" w16cid:durableId="1143817606">
    <w:abstractNumId w:val="3"/>
  </w:num>
  <w:num w:numId="7" w16cid:durableId="1269965339">
    <w:abstractNumId w:val="2"/>
  </w:num>
  <w:num w:numId="8" w16cid:durableId="300237203">
    <w:abstractNumId w:val="1"/>
  </w:num>
  <w:num w:numId="9" w16cid:durableId="736784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94F"/>
    <w:rsid w:val="0029639D"/>
    <w:rsid w:val="002D40BB"/>
    <w:rsid w:val="00326F90"/>
    <w:rsid w:val="00667B13"/>
    <w:rsid w:val="00AA1D8D"/>
    <w:rsid w:val="00B47730"/>
    <w:rsid w:val="00CB0664"/>
    <w:rsid w:val="00E175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32BD6B"/>
  <w14:defaultImageDpi w14:val="300"/>
  <w15:docId w15:val="{B4C6F4A1-ECBE-6C48-BA4D-3A10876C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b/>
      <w:bCs/>
      <w:color w:val="0A0A0A"/>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b/>
      <w:bCs/>
      <w:color w:val="0A0A0A"/>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0A0A0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E17531"/>
    <w:pPr>
      <w:spacing w:after="100"/>
      <w:ind w:left="220"/>
    </w:pPr>
  </w:style>
  <w:style w:type="paragraph" w:styleId="TOC1">
    <w:name w:val="toc 1"/>
    <w:basedOn w:val="Normal"/>
    <w:next w:val="Normal"/>
    <w:autoRedefine/>
    <w:uiPriority w:val="39"/>
    <w:unhideWhenUsed/>
    <w:rsid w:val="00E17531"/>
    <w:pPr>
      <w:spacing w:after="100"/>
    </w:pPr>
  </w:style>
  <w:style w:type="character" w:styleId="Hyperlink">
    <w:name w:val="Hyperlink"/>
    <w:basedOn w:val="DefaultParagraphFont"/>
    <w:uiPriority w:val="99"/>
    <w:unhideWhenUsed/>
    <w:rsid w:val="00E175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Verkaufsleitfaden, vom Erstkontakt zum Auftrag</dc:title>
  <dc:subject/>
  <dc:creator>Jerome Fischer</dc:creator>
  <cp:keywords/>
  <dc:description>generated by python-docx</dc:description>
  <cp:lastModifiedBy>Jerome Fischer</cp:lastModifiedBy>
  <cp:revision>2</cp:revision>
  <dcterms:created xsi:type="dcterms:W3CDTF">2013-12-23T23:15:00Z</dcterms:created>
  <dcterms:modified xsi:type="dcterms:W3CDTF">2026-06-07T13:56:00Z</dcterms:modified>
  <cp:category/>
  <dc:language>de-DE</dc:language>
</cp:coreProperties>
</file>