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9746"/>
      </w:tblGrid>
      <w:tr w:rsidR="006D0921" w14:paraId="1AD4B7A1" w14:textId="77777777">
        <w:trPr>
          <w:jc w:val="center"/>
        </w:trPr>
        <w:tc>
          <w:tcPr>
            <w:tcW w:w="9746" w:type="dxa"/>
            <w:shd w:val="clear" w:color="auto" w:fill="0A0A0A"/>
            <w:tcMar>
              <w:top w:w="420" w:type="dxa"/>
              <w:left w:w="360" w:type="dxa"/>
              <w:bottom w:w="420" w:type="dxa"/>
              <w:right w:w="360" w:type="dxa"/>
            </w:tcMar>
          </w:tcPr>
          <w:p w14:paraId="3AF74C59" w14:textId="77777777" w:rsidR="006D0921" w:rsidRPr="00F7616C" w:rsidRDefault="00000000">
            <w:pPr>
              <w:rPr>
                <w:lang w:val="de-DE"/>
              </w:rPr>
            </w:pPr>
            <w:r w:rsidRPr="00F7616C">
              <w:rPr>
                <w:rFonts w:cs="Arial"/>
                <w:b/>
                <w:color w:val="FBCE3C"/>
                <w:sz w:val="26"/>
                <w:lang w:val="de-DE"/>
              </w:rPr>
              <w:t xml:space="preserve">★ </w:t>
            </w:r>
            <w:r w:rsidRPr="00F7616C">
              <w:rPr>
                <w:rFonts w:cs="Arial"/>
                <w:b/>
                <w:color w:val="FFFFFF"/>
                <w:sz w:val="26"/>
                <w:lang w:val="de-DE"/>
              </w:rPr>
              <w:t>HANDWERK</w:t>
            </w:r>
            <w:r w:rsidRPr="00F7616C">
              <w:rPr>
                <w:rFonts w:cs="Arial"/>
                <w:b/>
                <w:color w:val="FBCE3C"/>
                <w:sz w:val="26"/>
                <w:lang w:val="de-DE"/>
              </w:rPr>
              <w:t>STARS</w:t>
            </w:r>
          </w:p>
          <w:p w14:paraId="3C38D6F6" w14:textId="77777777" w:rsidR="006D0921" w:rsidRPr="00F7616C" w:rsidRDefault="00000000">
            <w:pPr>
              <w:spacing w:after="240"/>
              <w:rPr>
                <w:lang w:val="de-DE"/>
              </w:rPr>
            </w:pPr>
            <w:r w:rsidRPr="00F7616C">
              <w:rPr>
                <w:rFonts w:cs="Arial"/>
                <w:b/>
                <w:color w:val="FBCE3C"/>
                <w:sz w:val="18"/>
                <w:lang w:val="de-DE"/>
              </w:rPr>
              <w:t>TOP-HANDWERKER ERFOLGSKIT · WERKZEUG 4 VON 7</w:t>
            </w:r>
          </w:p>
          <w:p w14:paraId="6B9B7308" w14:textId="77777777" w:rsidR="006D0921" w:rsidRPr="00F7616C" w:rsidRDefault="00000000">
            <w:pPr>
              <w:spacing w:after="160"/>
              <w:rPr>
                <w:lang w:val="de-DE"/>
              </w:rPr>
            </w:pPr>
            <w:r w:rsidRPr="00F7616C">
              <w:rPr>
                <w:rFonts w:cs="Arial"/>
                <w:b/>
                <w:color w:val="FFFFFF"/>
                <w:sz w:val="44"/>
                <w:lang w:val="de-DE"/>
              </w:rPr>
              <w:t>Liquidität sehen, bevor sie knapp wird</w:t>
            </w:r>
          </w:p>
          <w:p w14:paraId="4598E7AD" w14:textId="77777777" w:rsidR="006D0921" w:rsidRPr="00F7616C" w:rsidRDefault="00000000">
            <w:pPr>
              <w:spacing w:after="320"/>
              <w:rPr>
                <w:lang w:val="de-DE"/>
              </w:rPr>
            </w:pPr>
            <w:r w:rsidRPr="00F7616C">
              <w:rPr>
                <w:rFonts w:cs="Arial"/>
                <w:color w:val="DDDDDD"/>
                <w:sz w:val="24"/>
                <w:lang w:val="de-DE"/>
              </w:rPr>
              <w:t>Das Methoden-Arbeitsheft zur 13-Wochen-Liquiditätssteuerung</w:t>
            </w:r>
          </w:p>
          <w:p w14:paraId="15FCB5BC" w14:textId="77777777" w:rsidR="006D0921" w:rsidRDefault="00000000">
            <w:pPr>
              <w:spacing w:after="0"/>
            </w:pPr>
            <w:r>
              <w:rPr>
                <w:rFonts w:cs="Arial"/>
                <w:b/>
                <w:color w:val="FBCE3C"/>
                <w:sz w:val="20"/>
              </w:rPr>
              <w:t>Eine Klasse für sich.</w:t>
            </w:r>
          </w:p>
        </w:tc>
      </w:tr>
    </w:tbl>
    <w:p w14:paraId="6D955628" w14:textId="77777777" w:rsidR="006D0921" w:rsidRDefault="006D0921"/>
    <w:p w14:paraId="15171EFD" w14:textId="77777777" w:rsidR="006D0921" w:rsidRDefault="00000000">
      <w:pPr>
        <w:pStyle w:val="Heading2"/>
      </w:pPr>
      <w:bookmarkStart w:id="0" w:name="_Toc231739979"/>
      <w:r>
        <w:rPr>
          <w:rFonts w:ascii="Arial" w:hAnsi="Arial" w:cs="Arial"/>
        </w:rPr>
        <w:t>Inhalt</w:t>
      </w:r>
      <w:bookmarkEnd w:id="0"/>
    </w:p>
    <w:p w14:paraId="330C9D50" w14:textId="77777777" w:rsidR="00F7616C" w:rsidRDefault="00000000">
      <w:pPr>
        <w:pStyle w:val="TOC2"/>
        <w:tabs>
          <w:tab w:val="right" w:leader="dot" w:pos="9736"/>
        </w:tabs>
        <w:rPr>
          <w:noProof/>
        </w:rPr>
      </w:pPr>
      <w:r>
        <w:fldChar w:fldCharType="begin"/>
      </w:r>
      <w:r>
        <w:instrText>TOC \o "1-2" \h \z \u</w:instrText>
      </w:r>
      <w:r>
        <w:fldChar w:fldCharType="separate"/>
      </w:r>
      <w:hyperlink w:anchor="_Toc231739979" w:history="1">
        <w:r w:rsidR="00F7616C" w:rsidRPr="00531C29">
          <w:rPr>
            <w:rStyle w:val="Hyperlink"/>
            <w:rFonts w:cs="Arial"/>
            <w:noProof/>
          </w:rPr>
          <w:t>Inhalt</w:t>
        </w:r>
        <w:r w:rsidR="00F7616C">
          <w:rPr>
            <w:noProof/>
            <w:webHidden/>
          </w:rPr>
          <w:tab/>
        </w:r>
        <w:r w:rsidR="00F7616C">
          <w:rPr>
            <w:noProof/>
            <w:webHidden/>
          </w:rPr>
          <w:fldChar w:fldCharType="begin"/>
        </w:r>
        <w:r w:rsidR="00F7616C">
          <w:rPr>
            <w:noProof/>
            <w:webHidden/>
          </w:rPr>
          <w:instrText xml:space="preserve"> PAGEREF _Toc231739979 \h </w:instrText>
        </w:r>
        <w:r w:rsidR="00F7616C">
          <w:rPr>
            <w:noProof/>
            <w:webHidden/>
          </w:rPr>
        </w:r>
        <w:r w:rsidR="00F7616C">
          <w:rPr>
            <w:noProof/>
            <w:webHidden/>
          </w:rPr>
          <w:fldChar w:fldCharType="separate"/>
        </w:r>
        <w:r w:rsidR="00F7616C">
          <w:rPr>
            <w:noProof/>
            <w:webHidden/>
          </w:rPr>
          <w:t>1</w:t>
        </w:r>
        <w:r w:rsidR="00F7616C">
          <w:rPr>
            <w:noProof/>
            <w:webHidden/>
          </w:rPr>
          <w:fldChar w:fldCharType="end"/>
        </w:r>
      </w:hyperlink>
    </w:p>
    <w:p w14:paraId="05FBD1E5" w14:textId="77777777" w:rsidR="00F7616C" w:rsidRDefault="00F7616C">
      <w:pPr>
        <w:pStyle w:val="TOC1"/>
        <w:tabs>
          <w:tab w:val="right" w:leader="dot" w:pos="9736"/>
        </w:tabs>
        <w:rPr>
          <w:noProof/>
        </w:rPr>
      </w:pPr>
      <w:hyperlink w:anchor="_Toc231739980" w:history="1">
        <w:r w:rsidRPr="00531C29">
          <w:rPr>
            <w:rStyle w:val="Hyperlink"/>
            <w:rFonts w:cs="Arial"/>
            <w:noProof/>
          </w:rPr>
          <w:t>1. Worum es in diesem Heft geht</w:t>
        </w:r>
        <w:r>
          <w:rPr>
            <w:noProof/>
            <w:webHidden/>
          </w:rPr>
          <w:tab/>
        </w:r>
        <w:r>
          <w:rPr>
            <w:noProof/>
            <w:webHidden/>
          </w:rPr>
          <w:fldChar w:fldCharType="begin"/>
        </w:r>
        <w:r>
          <w:rPr>
            <w:noProof/>
            <w:webHidden/>
          </w:rPr>
          <w:instrText xml:space="preserve"> PAGEREF _Toc231739980 \h </w:instrText>
        </w:r>
        <w:r>
          <w:rPr>
            <w:noProof/>
            <w:webHidden/>
          </w:rPr>
        </w:r>
        <w:r>
          <w:rPr>
            <w:noProof/>
            <w:webHidden/>
          </w:rPr>
          <w:fldChar w:fldCharType="separate"/>
        </w:r>
        <w:r>
          <w:rPr>
            <w:noProof/>
            <w:webHidden/>
          </w:rPr>
          <w:t>2</w:t>
        </w:r>
        <w:r>
          <w:rPr>
            <w:noProof/>
            <w:webHidden/>
          </w:rPr>
          <w:fldChar w:fldCharType="end"/>
        </w:r>
      </w:hyperlink>
    </w:p>
    <w:p w14:paraId="28AFEAC7" w14:textId="77777777" w:rsidR="00F7616C" w:rsidRDefault="00F7616C">
      <w:pPr>
        <w:pStyle w:val="TOC1"/>
        <w:tabs>
          <w:tab w:val="right" w:leader="dot" w:pos="9736"/>
        </w:tabs>
        <w:rPr>
          <w:noProof/>
        </w:rPr>
      </w:pPr>
      <w:hyperlink w:anchor="_Toc231739981" w:history="1">
        <w:r w:rsidRPr="00531C29">
          <w:rPr>
            <w:rStyle w:val="Hyperlink"/>
            <w:rFonts w:cs="Arial"/>
            <w:noProof/>
          </w:rPr>
          <w:t>2. Profit ist Meinung, Liquidität ist Tatsache</w:t>
        </w:r>
        <w:r>
          <w:rPr>
            <w:noProof/>
            <w:webHidden/>
          </w:rPr>
          <w:tab/>
        </w:r>
        <w:r>
          <w:rPr>
            <w:noProof/>
            <w:webHidden/>
          </w:rPr>
          <w:fldChar w:fldCharType="begin"/>
        </w:r>
        <w:r>
          <w:rPr>
            <w:noProof/>
            <w:webHidden/>
          </w:rPr>
          <w:instrText xml:space="preserve"> PAGEREF _Toc231739981 \h </w:instrText>
        </w:r>
        <w:r>
          <w:rPr>
            <w:noProof/>
            <w:webHidden/>
          </w:rPr>
        </w:r>
        <w:r>
          <w:rPr>
            <w:noProof/>
            <w:webHidden/>
          </w:rPr>
          <w:fldChar w:fldCharType="separate"/>
        </w:r>
        <w:r>
          <w:rPr>
            <w:noProof/>
            <w:webHidden/>
          </w:rPr>
          <w:t>2</w:t>
        </w:r>
        <w:r>
          <w:rPr>
            <w:noProof/>
            <w:webHidden/>
          </w:rPr>
          <w:fldChar w:fldCharType="end"/>
        </w:r>
      </w:hyperlink>
    </w:p>
    <w:p w14:paraId="7FCE8AB0" w14:textId="77777777" w:rsidR="00F7616C" w:rsidRDefault="00F7616C">
      <w:pPr>
        <w:pStyle w:val="TOC1"/>
        <w:tabs>
          <w:tab w:val="right" w:leader="dot" w:pos="9736"/>
        </w:tabs>
        <w:rPr>
          <w:noProof/>
        </w:rPr>
      </w:pPr>
      <w:hyperlink w:anchor="_Toc231739982" w:history="1">
        <w:r w:rsidRPr="00531C29">
          <w:rPr>
            <w:rStyle w:val="Hyperlink"/>
            <w:rFonts w:cs="Arial"/>
            <w:noProof/>
          </w:rPr>
          <w:t>3. Zwei Blickrichtungen: Kontoauszug und Vorschau</w:t>
        </w:r>
        <w:r>
          <w:rPr>
            <w:noProof/>
            <w:webHidden/>
          </w:rPr>
          <w:tab/>
        </w:r>
        <w:r>
          <w:rPr>
            <w:noProof/>
            <w:webHidden/>
          </w:rPr>
          <w:fldChar w:fldCharType="begin"/>
        </w:r>
        <w:r>
          <w:rPr>
            <w:noProof/>
            <w:webHidden/>
          </w:rPr>
          <w:instrText xml:space="preserve"> PAGEREF _Toc231739982 \h </w:instrText>
        </w:r>
        <w:r>
          <w:rPr>
            <w:noProof/>
            <w:webHidden/>
          </w:rPr>
        </w:r>
        <w:r>
          <w:rPr>
            <w:noProof/>
            <w:webHidden/>
          </w:rPr>
          <w:fldChar w:fldCharType="separate"/>
        </w:r>
        <w:r>
          <w:rPr>
            <w:noProof/>
            <w:webHidden/>
          </w:rPr>
          <w:t>2</w:t>
        </w:r>
        <w:r>
          <w:rPr>
            <w:noProof/>
            <w:webHidden/>
          </w:rPr>
          <w:fldChar w:fldCharType="end"/>
        </w:r>
      </w:hyperlink>
    </w:p>
    <w:p w14:paraId="31AB7D32" w14:textId="77777777" w:rsidR="00F7616C" w:rsidRDefault="00F7616C">
      <w:pPr>
        <w:pStyle w:val="TOC1"/>
        <w:tabs>
          <w:tab w:val="right" w:leader="dot" w:pos="9736"/>
        </w:tabs>
        <w:rPr>
          <w:noProof/>
        </w:rPr>
      </w:pPr>
      <w:hyperlink w:anchor="_Toc231739983" w:history="1">
        <w:r w:rsidRPr="00531C29">
          <w:rPr>
            <w:rStyle w:val="Hyperlink"/>
            <w:rFonts w:cs="Arial"/>
            <w:noProof/>
          </w:rPr>
          <w:t>4. Die Bausteine des 13-Wochen-Plans</w:t>
        </w:r>
        <w:r>
          <w:rPr>
            <w:noProof/>
            <w:webHidden/>
          </w:rPr>
          <w:tab/>
        </w:r>
        <w:r>
          <w:rPr>
            <w:noProof/>
            <w:webHidden/>
          </w:rPr>
          <w:fldChar w:fldCharType="begin"/>
        </w:r>
        <w:r>
          <w:rPr>
            <w:noProof/>
            <w:webHidden/>
          </w:rPr>
          <w:instrText xml:space="preserve"> PAGEREF _Toc231739983 \h </w:instrText>
        </w:r>
        <w:r>
          <w:rPr>
            <w:noProof/>
            <w:webHidden/>
          </w:rPr>
        </w:r>
        <w:r>
          <w:rPr>
            <w:noProof/>
            <w:webHidden/>
          </w:rPr>
          <w:fldChar w:fldCharType="separate"/>
        </w:r>
        <w:r>
          <w:rPr>
            <w:noProof/>
            <w:webHidden/>
          </w:rPr>
          <w:t>2</w:t>
        </w:r>
        <w:r>
          <w:rPr>
            <w:noProof/>
            <w:webHidden/>
          </w:rPr>
          <w:fldChar w:fldCharType="end"/>
        </w:r>
      </w:hyperlink>
    </w:p>
    <w:p w14:paraId="1AEEB95D" w14:textId="77777777" w:rsidR="00F7616C" w:rsidRDefault="00F7616C">
      <w:pPr>
        <w:pStyle w:val="TOC1"/>
        <w:tabs>
          <w:tab w:val="right" w:leader="dot" w:pos="9736"/>
        </w:tabs>
        <w:rPr>
          <w:noProof/>
        </w:rPr>
      </w:pPr>
      <w:hyperlink w:anchor="_Toc231739984" w:history="1">
        <w:r w:rsidRPr="00531C29">
          <w:rPr>
            <w:rStyle w:val="Hyperlink"/>
            <w:rFonts w:cs="Arial"/>
            <w:noProof/>
          </w:rPr>
          <w:t>5. Die typischen Liquiditätsfallen im Handwerk</w:t>
        </w:r>
        <w:r>
          <w:rPr>
            <w:noProof/>
            <w:webHidden/>
          </w:rPr>
          <w:tab/>
        </w:r>
        <w:r>
          <w:rPr>
            <w:noProof/>
            <w:webHidden/>
          </w:rPr>
          <w:fldChar w:fldCharType="begin"/>
        </w:r>
        <w:r>
          <w:rPr>
            <w:noProof/>
            <w:webHidden/>
          </w:rPr>
          <w:instrText xml:space="preserve"> PAGEREF _Toc231739984 \h </w:instrText>
        </w:r>
        <w:r>
          <w:rPr>
            <w:noProof/>
            <w:webHidden/>
          </w:rPr>
        </w:r>
        <w:r>
          <w:rPr>
            <w:noProof/>
            <w:webHidden/>
          </w:rPr>
          <w:fldChar w:fldCharType="separate"/>
        </w:r>
        <w:r>
          <w:rPr>
            <w:noProof/>
            <w:webHidden/>
          </w:rPr>
          <w:t>3</w:t>
        </w:r>
        <w:r>
          <w:rPr>
            <w:noProof/>
            <w:webHidden/>
          </w:rPr>
          <w:fldChar w:fldCharType="end"/>
        </w:r>
      </w:hyperlink>
    </w:p>
    <w:p w14:paraId="5349E23A" w14:textId="77777777" w:rsidR="00F7616C" w:rsidRDefault="00F7616C">
      <w:pPr>
        <w:pStyle w:val="TOC1"/>
        <w:tabs>
          <w:tab w:val="right" w:leader="dot" w:pos="9736"/>
        </w:tabs>
        <w:rPr>
          <w:noProof/>
        </w:rPr>
      </w:pPr>
      <w:hyperlink w:anchor="_Toc231739985" w:history="1">
        <w:r w:rsidRPr="00531C29">
          <w:rPr>
            <w:rStyle w:val="Hyperlink"/>
            <w:rFonts w:cs="Arial"/>
            <w:noProof/>
          </w:rPr>
          <w:t>6. Drei Hebel gegen den Engpass</w:t>
        </w:r>
        <w:r>
          <w:rPr>
            <w:noProof/>
            <w:webHidden/>
          </w:rPr>
          <w:tab/>
        </w:r>
        <w:r>
          <w:rPr>
            <w:noProof/>
            <w:webHidden/>
          </w:rPr>
          <w:fldChar w:fldCharType="begin"/>
        </w:r>
        <w:r>
          <w:rPr>
            <w:noProof/>
            <w:webHidden/>
          </w:rPr>
          <w:instrText xml:space="preserve"> PAGEREF _Toc231739985 \h </w:instrText>
        </w:r>
        <w:r>
          <w:rPr>
            <w:noProof/>
            <w:webHidden/>
          </w:rPr>
        </w:r>
        <w:r>
          <w:rPr>
            <w:noProof/>
            <w:webHidden/>
          </w:rPr>
          <w:fldChar w:fldCharType="separate"/>
        </w:r>
        <w:r>
          <w:rPr>
            <w:noProof/>
            <w:webHidden/>
          </w:rPr>
          <w:t>3</w:t>
        </w:r>
        <w:r>
          <w:rPr>
            <w:noProof/>
            <w:webHidden/>
          </w:rPr>
          <w:fldChar w:fldCharType="end"/>
        </w:r>
      </w:hyperlink>
    </w:p>
    <w:p w14:paraId="5478A2CF" w14:textId="77777777" w:rsidR="00F7616C" w:rsidRDefault="00F7616C">
      <w:pPr>
        <w:pStyle w:val="TOC1"/>
        <w:tabs>
          <w:tab w:val="right" w:leader="dot" w:pos="9736"/>
        </w:tabs>
        <w:rPr>
          <w:noProof/>
        </w:rPr>
      </w:pPr>
      <w:hyperlink w:anchor="_Toc231739986" w:history="1">
        <w:r w:rsidRPr="00531C29">
          <w:rPr>
            <w:rStyle w:val="Hyperlink"/>
            <w:rFonts w:cs="Arial"/>
            <w:noProof/>
          </w:rPr>
          <w:t>7. Mit Szenarien rechnen</w:t>
        </w:r>
        <w:r>
          <w:rPr>
            <w:noProof/>
            <w:webHidden/>
          </w:rPr>
          <w:tab/>
        </w:r>
        <w:r>
          <w:rPr>
            <w:noProof/>
            <w:webHidden/>
          </w:rPr>
          <w:fldChar w:fldCharType="begin"/>
        </w:r>
        <w:r>
          <w:rPr>
            <w:noProof/>
            <w:webHidden/>
          </w:rPr>
          <w:instrText xml:space="preserve"> PAGEREF _Toc231739986 \h </w:instrText>
        </w:r>
        <w:r>
          <w:rPr>
            <w:noProof/>
            <w:webHidden/>
          </w:rPr>
        </w:r>
        <w:r>
          <w:rPr>
            <w:noProof/>
            <w:webHidden/>
          </w:rPr>
          <w:fldChar w:fldCharType="separate"/>
        </w:r>
        <w:r>
          <w:rPr>
            <w:noProof/>
            <w:webHidden/>
          </w:rPr>
          <w:t>3</w:t>
        </w:r>
        <w:r>
          <w:rPr>
            <w:noProof/>
            <w:webHidden/>
          </w:rPr>
          <w:fldChar w:fldCharType="end"/>
        </w:r>
      </w:hyperlink>
    </w:p>
    <w:p w14:paraId="330AD3F0" w14:textId="77777777" w:rsidR="00F7616C" w:rsidRDefault="00F7616C">
      <w:pPr>
        <w:pStyle w:val="TOC1"/>
        <w:tabs>
          <w:tab w:val="right" w:leader="dot" w:pos="9736"/>
        </w:tabs>
        <w:rPr>
          <w:noProof/>
        </w:rPr>
      </w:pPr>
      <w:hyperlink w:anchor="_Toc231739987" w:history="1">
        <w:r w:rsidRPr="00531C29">
          <w:rPr>
            <w:rStyle w:val="Hyperlink"/>
            <w:rFonts w:cs="Arial"/>
            <w:noProof/>
          </w:rPr>
          <w:t>8. Ihr nächster Schritt</w:t>
        </w:r>
        <w:r>
          <w:rPr>
            <w:noProof/>
            <w:webHidden/>
          </w:rPr>
          <w:tab/>
        </w:r>
        <w:r>
          <w:rPr>
            <w:noProof/>
            <w:webHidden/>
          </w:rPr>
          <w:fldChar w:fldCharType="begin"/>
        </w:r>
        <w:r>
          <w:rPr>
            <w:noProof/>
            <w:webHidden/>
          </w:rPr>
          <w:instrText xml:space="preserve"> PAGEREF _Toc231739987 \h </w:instrText>
        </w:r>
        <w:r>
          <w:rPr>
            <w:noProof/>
            <w:webHidden/>
          </w:rPr>
        </w:r>
        <w:r>
          <w:rPr>
            <w:noProof/>
            <w:webHidden/>
          </w:rPr>
          <w:fldChar w:fldCharType="separate"/>
        </w:r>
        <w:r>
          <w:rPr>
            <w:noProof/>
            <w:webHidden/>
          </w:rPr>
          <w:t>3</w:t>
        </w:r>
        <w:r>
          <w:rPr>
            <w:noProof/>
            <w:webHidden/>
          </w:rPr>
          <w:fldChar w:fldCharType="end"/>
        </w:r>
      </w:hyperlink>
    </w:p>
    <w:p w14:paraId="417177E0" w14:textId="77777777" w:rsidR="006D0921" w:rsidRDefault="00000000">
      <w:r>
        <w:fldChar w:fldCharType="end"/>
      </w:r>
    </w:p>
    <w:p w14:paraId="3910B679" w14:textId="77777777" w:rsidR="006D0921" w:rsidRDefault="00000000">
      <w:r>
        <w:br w:type="page"/>
      </w:r>
    </w:p>
    <w:p w14:paraId="51352196" w14:textId="77777777" w:rsidR="006D0921" w:rsidRDefault="00000000">
      <w:pPr>
        <w:pStyle w:val="Heading1"/>
      </w:pPr>
      <w:bookmarkStart w:id="1" w:name="_Toc231739980"/>
      <w:r>
        <w:rPr>
          <w:rFonts w:ascii="Arial" w:hAnsi="Arial" w:cs="Arial"/>
        </w:rPr>
        <w:lastRenderedPageBreak/>
        <w:t>1. Worum es in diesem Heft geht</w:t>
      </w:r>
      <w:bookmarkEnd w:id="1"/>
    </w:p>
    <w:p w14:paraId="7E566B54" w14:textId="77777777" w:rsidR="006D0921" w:rsidRDefault="00000000">
      <w:pPr>
        <w:spacing w:after="120"/>
      </w:pPr>
      <w:r>
        <w:rPr>
          <w:rFonts w:cs="Arial"/>
        </w:rPr>
        <w:t>Dieses Arbeitsheft erklärt, warum Liquidität über das Überleben eines Betriebs entscheidet, und wie Sie mit einer rollierenden 13-Wochen-Vorschau jeden Engpass erkennen, bevor er entsteht. Nutzen Sie es gemeinsam mit dem Liquiditätsplan (App und Excel): Hier verstehen Sie die Methode, dort planen Sie Ihre Wochen. Wie Sie den Plan in 20 Minuten aus Ihren Kontoauszügen befüllen, zeigt der Praxis-Leitfaden.</w:t>
      </w:r>
    </w:p>
    <w:p w14:paraId="54606EAC" w14:textId="77777777" w:rsidR="006D0921" w:rsidRDefault="00000000">
      <w:pPr>
        <w:pStyle w:val="Heading1"/>
      </w:pPr>
      <w:bookmarkStart w:id="2" w:name="_Toc231739981"/>
      <w:r>
        <w:rPr>
          <w:rFonts w:ascii="Arial" w:hAnsi="Arial" w:cs="Arial"/>
        </w:rPr>
        <w:t>2. Profit ist Meinung, Liquidität ist Tatsache</w:t>
      </w:r>
      <w:bookmarkEnd w:id="2"/>
    </w:p>
    <w:p w14:paraId="1282B1C0" w14:textId="77777777" w:rsidR="006D0921" w:rsidRDefault="00000000">
      <w:pPr>
        <w:spacing w:after="120"/>
      </w:pPr>
      <w:r>
        <w:rPr>
          <w:rFonts w:cs="Arial"/>
        </w:rPr>
        <w:t>Ein Betrieb kann profitabel sein und trotzdem zahlungsunfähig werden, wenn Geld zur falschen Zeit gebunden ist. Die Insolvenzen im Handwerk steigen; Auslöser ist meist nicht die Auftragslage, sondern die Liquidität: Materialvorfinanzierung, Steuertermine und Lohnlauf treffen zusammen, und das Konto reicht nicht.</w:t>
      </w:r>
    </w:p>
    <w:tbl>
      <w:tblPr>
        <w:tblW w:w="0" w:type="auto"/>
        <w:jc w:val="center"/>
        <w:tblLook w:val="04A0" w:firstRow="1" w:lastRow="0" w:firstColumn="1" w:lastColumn="0" w:noHBand="0" w:noVBand="1"/>
      </w:tblPr>
      <w:tblGrid>
        <w:gridCol w:w="9746"/>
      </w:tblGrid>
      <w:tr w:rsidR="006D0921" w14:paraId="39AEAD6F" w14:textId="77777777">
        <w:trPr>
          <w:jc w:val="center"/>
        </w:trPr>
        <w:tc>
          <w:tcPr>
            <w:tcW w:w="9746" w:type="dxa"/>
            <w:shd w:val="clear" w:color="auto" w:fill="0A0A0A"/>
            <w:tcMar>
              <w:top w:w="140" w:type="dxa"/>
              <w:left w:w="160" w:type="dxa"/>
              <w:bottom w:w="140" w:type="dxa"/>
              <w:right w:w="160" w:type="dxa"/>
            </w:tcMar>
          </w:tcPr>
          <w:p w14:paraId="3AE9D07E" w14:textId="77777777" w:rsidR="006D0921" w:rsidRDefault="00000000">
            <w:pPr>
              <w:spacing w:after="60"/>
            </w:pPr>
            <w:r>
              <w:rPr>
                <w:rFonts w:cs="Arial"/>
                <w:b/>
                <w:color w:val="FBCE3C"/>
                <w:sz w:val="20"/>
              </w:rPr>
              <w:t>MERKSATZ</w:t>
            </w:r>
          </w:p>
          <w:p w14:paraId="36F03F06" w14:textId="77777777" w:rsidR="006D0921" w:rsidRDefault="00000000">
            <w:pPr>
              <w:spacing w:after="0"/>
            </w:pPr>
            <w:r>
              <w:rPr>
                <w:rFonts w:cs="Arial"/>
                <w:color w:val="FFFFFF"/>
                <w:sz w:val="21"/>
              </w:rPr>
              <w:t>Ein voller Auftragsbestand schützt nicht vor dem leeren Konto.</w:t>
            </w:r>
          </w:p>
        </w:tc>
      </w:tr>
    </w:tbl>
    <w:p w14:paraId="7D405682" w14:textId="77777777" w:rsidR="006D0921" w:rsidRDefault="006D0921">
      <w:pPr>
        <w:spacing w:after="120"/>
      </w:pPr>
    </w:p>
    <w:p w14:paraId="2843BB9B" w14:textId="77777777" w:rsidR="006D0921" w:rsidRDefault="00000000">
      <w:pPr>
        <w:pStyle w:val="Heading1"/>
      </w:pPr>
      <w:bookmarkStart w:id="3" w:name="_Toc231739982"/>
      <w:r>
        <w:rPr>
          <w:rFonts w:ascii="Arial" w:hAnsi="Arial" w:cs="Arial"/>
        </w:rPr>
        <w:t>3. Zwei Blickrichtungen: Kontoauszug und Vorschau</w:t>
      </w:r>
      <w:bookmarkEnd w:id="3"/>
    </w:p>
    <w:p w14:paraId="4980DEE2" w14:textId="77777777" w:rsidR="006D0921" w:rsidRDefault="00000000">
      <w:pPr>
        <w:spacing w:after="120"/>
      </w:pPr>
      <w:r>
        <w:rPr>
          <w:rFonts w:cs="Arial"/>
        </w:rPr>
        <w:t>Der häufigste Denkfehler ist, die Liquidität am Kontostand abzulesen. Der Kontoauszug schaut zurück, die Planung schaut nach vorn. Beide gehören zusammen:</w:t>
      </w:r>
    </w:p>
    <w:tbl>
      <w:tblPr>
        <w:tblStyle w:val="TableGrid"/>
        <w:tblW w:w="0" w:type="auto"/>
        <w:jc w:val="center"/>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ook w:val="04A0" w:firstRow="1" w:lastRow="0" w:firstColumn="1" w:lastColumn="0" w:noHBand="0" w:noVBand="1"/>
      </w:tblPr>
      <w:tblGrid>
        <w:gridCol w:w="3456"/>
        <w:gridCol w:w="3118"/>
        <w:gridCol w:w="3118"/>
      </w:tblGrid>
      <w:tr w:rsidR="006D0921" w14:paraId="0A97DC00" w14:textId="77777777" w:rsidTr="00F7616C">
        <w:trPr>
          <w:jc w:val="center"/>
        </w:trPr>
        <w:tc>
          <w:tcPr>
            <w:tcW w:w="3456" w:type="dxa"/>
            <w:shd w:val="clear" w:color="auto" w:fill="333333"/>
            <w:tcMar>
              <w:top w:w="80" w:type="dxa"/>
              <w:left w:w="120" w:type="dxa"/>
              <w:bottom w:w="80" w:type="dxa"/>
              <w:right w:w="120" w:type="dxa"/>
            </w:tcMar>
          </w:tcPr>
          <w:p w14:paraId="6FF35911" w14:textId="77777777" w:rsidR="006D0921" w:rsidRDefault="006D0921"/>
        </w:tc>
        <w:tc>
          <w:tcPr>
            <w:tcW w:w="3118" w:type="dxa"/>
            <w:shd w:val="clear" w:color="auto" w:fill="333333"/>
            <w:tcMar>
              <w:top w:w="80" w:type="dxa"/>
              <w:left w:w="120" w:type="dxa"/>
              <w:bottom w:w="80" w:type="dxa"/>
              <w:right w:w="120" w:type="dxa"/>
            </w:tcMar>
          </w:tcPr>
          <w:p w14:paraId="65ACE0A0" w14:textId="77777777" w:rsidR="006D0921" w:rsidRDefault="00000000">
            <w:r>
              <w:rPr>
                <w:rFonts w:cs="Arial"/>
                <w:b/>
                <w:color w:val="FFFFFF"/>
                <w:sz w:val="19"/>
              </w:rPr>
              <w:t>Kontoauszug</w:t>
            </w:r>
          </w:p>
        </w:tc>
        <w:tc>
          <w:tcPr>
            <w:tcW w:w="3118" w:type="dxa"/>
            <w:shd w:val="clear" w:color="auto" w:fill="333333"/>
            <w:tcMar>
              <w:top w:w="80" w:type="dxa"/>
              <w:left w:w="120" w:type="dxa"/>
              <w:bottom w:w="80" w:type="dxa"/>
              <w:right w:w="120" w:type="dxa"/>
            </w:tcMar>
          </w:tcPr>
          <w:p w14:paraId="34325948" w14:textId="77777777" w:rsidR="006D0921" w:rsidRDefault="00000000">
            <w:r>
              <w:rPr>
                <w:rFonts w:cs="Arial"/>
                <w:b/>
                <w:color w:val="FFFFFF"/>
                <w:sz w:val="19"/>
              </w:rPr>
              <w:t>13-Wochen-Plan</w:t>
            </w:r>
          </w:p>
        </w:tc>
      </w:tr>
      <w:tr w:rsidR="006D0921" w14:paraId="6DCF9C14" w14:textId="77777777" w:rsidTr="00F7616C">
        <w:trPr>
          <w:jc w:val="center"/>
        </w:trPr>
        <w:tc>
          <w:tcPr>
            <w:tcW w:w="3456" w:type="dxa"/>
            <w:tcMar>
              <w:top w:w="80" w:type="dxa"/>
              <w:left w:w="120" w:type="dxa"/>
              <w:bottom w:w="80" w:type="dxa"/>
              <w:right w:w="120" w:type="dxa"/>
            </w:tcMar>
          </w:tcPr>
          <w:p w14:paraId="7EDFB25B" w14:textId="77777777" w:rsidR="006D0921" w:rsidRDefault="00000000">
            <w:r>
              <w:rPr>
                <w:rFonts w:cs="Arial"/>
                <w:b/>
                <w:sz w:val="20"/>
              </w:rPr>
              <w:t>Blickrichtung</w:t>
            </w:r>
          </w:p>
        </w:tc>
        <w:tc>
          <w:tcPr>
            <w:tcW w:w="3118" w:type="dxa"/>
            <w:tcMar>
              <w:top w:w="80" w:type="dxa"/>
              <w:left w:w="120" w:type="dxa"/>
              <w:bottom w:w="80" w:type="dxa"/>
              <w:right w:w="120" w:type="dxa"/>
            </w:tcMar>
          </w:tcPr>
          <w:p w14:paraId="66CA3C66" w14:textId="77777777" w:rsidR="006D0921" w:rsidRDefault="00000000">
            <w:r>
              <w:rPr>
                <w:rFonts w:cs="Arial"/>
                <w:sz w:val="20"/>
              </w:rPr>
              <w:t>Vergangenheit und heute</w:t>
            </w:r>
          </w:p>
        </w:tc>
        <w:tc>
          <w:tcPr>
            <w:tcW w:w="3118" w:type="dxa"/>
            <w:tcMar>
              <w:top w:w="80" w:type="dxa"/>
              <w:left w:w="120" w:type="dxa"/>
              <w:bottom w:w="80" w:type="dxa"/>
              <w:right w:w="120" w:type="dxa"/>
            </w:tcMar>
          </w:tcPr>
          <w:p w14:paraId="777C121B" w14:textId="77777777" w:rsidR="006D0921" w:rsidRDefault="00000000">
            <w:r>
              <w:rPr>
                <w:rFonts w:cs="Arial"/>
                <w:sz w:val="20"/>
              </w:rPr>
              <w:t>Zukunft</w:t>
            </w:r>
          </w:p>
        </w:tc>
      </w:tr>
      <w:tr w:rsidR="006D0921" w14:paraId="5D338AED" w14:textId="77777777" w:rsidTr="00F7616C">
        <w:trPr>
          <w:jc w:val="center"/>
        </w:trPr>
        <w:tc>
          <w:tcPr>
            <w:tcW w:w="3456" w:type="dxa"/>
            <w:tcMar>
              <w:top w:w="80" w:type="dxa"/>
              <w:left w:w="120" w:type="dxa"/>
              <w:bottom w:w="80" w:type="dxa"/>
              <w:right w:w="120" w:type="dxa"/>
            </w:tcMar>
          </w:tcPr>
          <w:p w14:paraId="50A39849" w14:textId="77777777" w:rsidR="006D0921" w:rsidRDefault="00000000">
            <w:r>
              <w:rPr>
                <w:rFonts w:cs="Arial"/>
                <w:b/>
                <w:sz w:val="20"/>
              </w:rPr>
              <w:t>Beantwortet</w:t>
            </w:r>
          </w:p>
        </w:tc>
        <w:tc>
          <w:tcPr>
            <w:tcW w:w="3118" w:type="dxa"/>
            <w:tcMar>
              <w:top w:w="80" w:type="dxa"/>
              <w:left w:w="120" w:type="dxa"/>
              <w:bottom w:w="80" w:type="dxa"/>
              <w:right w:w="120" w:type="dxa"/>
            </w:tcMar>
          </w:tcPr>
          <w:p w14:paraId="2F160D73" w14:textId="77777777" w:rsidR="006D0921" w:rsidRDefault="00000000">
            <w:r>
              <w:rPr>
                <w:rFonts w:cs="Arial"/>
                <w:sz w:val="20"/>
              </w:rPr>
              <w:t>Wie viel habe ich?</w:t>
            </w:r>
          </w:p>
        </w:tc>
        <w:tc>
          <w:tcPr>
            <w:tcW w:w="3118" w:type="dxa"/>
            <w:tcMar>
              <w:top w:w="80" w:type="dxa"/>
              <w:left w:w="120" w:type="dxa"/>
              <w:bottom w:w="80" w:type="dxa"/>
              <w:right w:w="120" w:type="dxa"/>
            </w:tcMar>
          </w:tcPr>
          <w:p w14:paraId="7C0EC1F3" w14:textId="77777777" w:rsidR="006D0921" w:rsidRDefault="00000000">
            <w:r>
              <w:rPr>
                <w:rFonts w:cs="Arial"/>
                <w:sz w:val="20"/>
              </w:rPr>
              <w:t>Wann wird es eng, und warum?</w:t>
            </w:r>
          </w:p>
        </w:tc>
      </w:tr>
      <w:tr w:rsidR="006D0921" w14:paraId="5BFB6A4A" w14:textId="77777777" w:rsidTr="00F7616C">
        <w:trPr>
          <w:jc w:val="center"/>
        </w:trPr>
        <w:tc>
          <w:tcPr>
            <w:tcW w:w="3456" w:type="dxa"/>
            <w:tcMar>
              <w:top w:w="80" w:type="dxa"/>
              <w:left w:w="120" w:type="dxa"/>
              <w:bottom w:w="80" w:type="dxa"/>
              <w:right w:w="120" w:type="dxa"/>
            </w:tcMar>
          </w:tcPr>
          <w:p w14:paraId="1D65857C" w14:textId="77777777" w:rsidR="006D0921" w:rsidRDefault="00000000">
            <w:r>
              <w:rPr>
                <w:rFonts w:cs="Arial"/>
                <w:b/>
                <w:sz w:val="20"/>
              </w:rPr>
              <w:t>Kennt</w:t>
            </w:r>
          </w:p>
        </w:tc>
        <w:tc>
          <w:tcPr>
            <w:tcW w:w="3118" w:type="dxa"/>
            <w:tcMar>
              <w:top w:w="80" w:type="dxa"/>
              <w:left w:w="120" w:type="dxa"/>
              <w:bottom w:w="80" w:type="dxa"/>
              <w:right w:w="120" w:type="dxa"/>
            </w:tcMar>
          </w:tcPr>
          <w:p w14:paraId="5ABEA24A" w14:textId="77777777" w:rsidR="006D0921" w:rsidRDefault="00000000">
            <w:r>
              <w:rPr>
                <w:rFonts w:cs="Arial"/>
                <w:sz w:val="20"/>
              </w:rPr>
              <w:t>nur gebuchte Vorgänge</w:t>
            </w:r>
          </w:p>
        </w:tc>
        <w:tc>
          <w:tcPr>
            <w:tcW w:w="3118" w:type="dxa"/>
            <w:tcMar>
              <w:top w:w="80" w:type="dxa"/>
              <w:left w:w="120" w:type="dxa"/>
              <w:bottom w:w="80" w:type="dxa"/>
              <w:right w:w="120" w:type="dxa"/>
            </w:tcMar>
          </w:tcPr>
          <w:p w14:paraId="5E64CC38" w14:textId="77777777" w:rsidR="006D0921" w:rsidRDefault="00000000">
            <w:r>
              <w:rPr>
                <w:rFonts w:cs="Arial"/>
                <w:sz w:val="20"/>
              </w:rPr>
              <w:t>auch geplante Ereignisse</w:t>
            </w:r>
          </w:p>
        </w:tc>
      </w:tr>
    </w:tbl>
    <w:p w14:paraId="572992F1" w14:textId="77777777" w:rsidR="006D0921" w:rsidRDefault="006D0921">
      <w:pPr>
        <w:spacing w:after="120"/>
      </w:pPr>
    </w:p>
    <w:p w14:paraId="70F6FD44" w14:textId="77777777" w:rsidR="006D0921" w:rsidRDefault="00000000">
      <w:pPr>
        <w:spacing w:after="120"/>
      </w:pPr>
      <w:r>
        <w:rPr>
          <w:rFonts w:cs="Arial"/>
        </w:rPr>
        <w:t>Der Kontoauszug ist die beste Datenquelle für den Start (durchschnittliche Einnahmen und Ausgaben, aktueller Saldo). Die entscheidenden Zukunftsposten, die nächste Steuervorauszahlung, die Vorfinanzierung des Großauftrags, kennt aber nur der Inhaber. Genau die machen den Plan wertvoll.</w:t>
      </w:r>
    </w:p>
    <w:p w14:paraId="4E5F121D" w14:textId="77777777" w:rsidR="006D0921" w:rsidRDefault="00000000">
      <w:pPr>
        <w:pStyle w:val="Heading1"/>
      </w:pPr>
      <w:bookmarkStart w:id="4" w:name="_Toc231739983"/>
      <w:r>
        <w:rPr>
          <w:rFonts w:ascii="Arial" w:hAnsi="Arial" w:cs="Arial"/>
        </w:rPr>
        <w:t>4. Die Bausteine des 13-Wochen-Plans</w:t>
      </w:r>
      <w:bookmarkEnd w:id="4"/>
    </w:p>
    <w:p w14:paraId="3046B87B" w14:textId="77777777" w:rsidR="006D0921" w:rsidRDefault="00000000">
      <w:pPr>
        <w:pStyle w:val="ListBullet"/>
        <w:spacing w:after="60"/>
      </w:pPr>
      <w:r>
        <w:rPr>
          <w:rFonts w:cs="Arial"/>
          <w:b/>
          <w:color w:val="0A0A0A"/>
        </w:rPr>
        <w:t xml:space="preserve">Startsaldo. </w:t>
      </w:r>
      <w:r>
        <w:rPr>
          <w:rFonts w:cs="Arial"/>
        </w:rPr>
        <w:t>Ihr aktueller Kontostand, am ehrlichsten direkt aus dem Kontoauszug.</w:t>
      </w:r>
    </w:p>
    <w:p w14:paraId="24200746" w14:textId="77777777" w:rsidR="006D0921" w:rsidRDefault="00000000">
      <w:pPr>
        <w:pStyle w:val="ListBullet"/>
        <w:spacing w:after="60"/>
      </w:pPr>
      <w:r>
        <w:rPr>
          <w:rFonts w:cs="Arial"/>
          <w:b/>
          <w:color w:val="0A0A0A"/>
        </w:rPr>
        <w:t xml:space="preserve">Einnahmen. </w:t>
      </w:r>
      <w:r>
        <w:rPr>
          <w:rFonts w:cs="Arial"/>
        </w:rPr>
        <w:t>Erwartete Zahlungseingänge je Woche (aus offenen Rechnungen und Erfahrungswerten).</w:t>
      </w:r>
    </w:p>
    <w:p w14:paraId="7BC3D1EE" w14:textId="77777777" w:rsidR="006D0921" w:rsidRDefault="00000000">
      <w:pPr>
        <w:pStyle w:val="ListBullet"/>
        <w:spacing w:after="60"/>
      </w:pPr>
      <w:r>
        <w:rPr>
          <w:rFonts w:cs="Arial"/>
          <w:b/>
          <w:color w:val="0A0A0A"/>
        </w:rPr>
        <w:t xml:space="preserve">Ausgaben-Kategorien. </w:t>
      </w:r>
      <w:r>
        <w:rPr>
          <w:rFonts w:cs="Arial"/>
        </w:rPr>
        <w:t>Material, Löhne, Miete, Versicherungen, Steuern, Tilgung, Sonstiges, je Woche.</w:t>
      </w:r>
    </w:p>
    <w:p w14:paraId="22599EEF" w14:textId="77777777" w:rsidR="006D0921" w:rsidRDefault="00000000">
      <w:pPr>
        <w:pStyle w:val="ListBullet"/>
        <w:spacing w:after="60"/>
      </w:pPr>
      <w:r>
        <w:rPr>
          <w:rFonts w:cs="Arial"/>
          <w:b/>
          <w:color w:val="0A0A0A"/>
        </w:rPr>
        <w:t xml:space="preserve">Sonderereignisse. </w:t>
      </w:r>
      <w:r>
        <w:rPr>
          <w:rFonts w:cs="Arial"/>
        </w:rPr>
        <w:t>Einmalige Posten in der richtigen Woche: Steuervorauszahlung, Materialvorkasse, große Anschaffung, Zahlungseingang eines Großauftrags.</w:t>
      </w:r>
    </w:p>
    <w:p w14:paraId="6332F9E2" w14:textId="77777777" w:rsidR="006D0921" w:rsidRDefault="00000000">
      <w:pPr>
        <w:pStyle w:val="ListBullet"/>
        <w:spacing w:after="60"/>
      </w:pPr>
      <w:r>
        <w:rPr>
          <w:rFonts w:cs="Arial"/>
          <w:b/>
          <w:color w:val="0A0A0A"/>
        </w:rPr>
        <w:t xml:space="preserve">Warnschwelle. </w:t>
      </w:r>
      <w:r>
        <w:rPr>
          <w:rFonts w:cs="Arial"/>
        </w:rPr>
        <w:t>Die Linie, die Sie nicht unterschreiten dürfen, Ihre Kreditlinie (negativ eintragen).</w:t>
      </w:r>
    </w:p>
    <w:p w14:paraId="35A942BF" w14:textId="77777777" w:rsidR="006D0921" w:rsidRDefault="00000000">
      <w:pPr>
        <w:pStyle w:val="ListBullet"/>
        <w:spacing w:after="60"/>
      </w:pPr>
      <w:r>
        <w:rPr>
          <w:rFonts w:cs="Arial"/>
          <w:b/>
          <w:color w:val="0A0A0A"/>
        </w:rPr>
        <w:lastRenderedPageBreak/>
        <w:t xml:space="preserve">Liquiditätsreserve. </w:t>
      </w:r>
      <w:r>
        <w:rPr>
          <w:rFonts w:cs="Arial"/>
        </w:rPr>
        <w:t>Der Sicherheitspuffer darüber, ab dem die Ampel auf Gelb springt.</w:t>
      </w:r>
    </w:p>
    <w:p w14:paraId="39726597" w14:textId="77777777" w:rsidR="006D0921" w:rsidRDefault="00000000">
      <w:pPr>
        <w:pStyle w:val="Heading1"/>
      </w:pPr>
      <w:bookmarkStart w:id="5" w:name="_Toc231739984"/>
      <w:r>
        <w:rPr>
          <w:rFonts w:ascii="Arial" w:hAnsi="Arial" w:cs="Arial"/>
        </w:rPr>
        <w:t>5. Die typischen Liquiditätsfallen im Handwerk</w:t>
      </w:r>
      <w:bookmarkEnd w:id="5"/>
    </w:p>
    <w:p w14:paraId="74B02147" w14:textId="77777777" w:rsidR="006D0921" w:rsidRDefault="00000000">
      <w:pPr>
        <w:pStyle w:val="ListBullet"/>
        <w:spacing w:after="60"/>
      </w:pPr>
      <w:r>
        <w:rPr>
          <w:rFonts w:cs="Arial"/>
          <w:b/>
          <w:color w:val="0A0A0A"/>
        </w:rPr>
        <w:t xml:space="preserve">Materialvorfinanzierung. </w:t>
      </w:r>
      <w:r>
        <w:rPr>
          <w:rFonts w:cs="Arial"/>
        </w:rPr>
        <w:t>Bei Großaufträgen zahlen Sie das Material Wochen vor dem Geldeingang. Der häufigste Engpass.</w:t>
      </w:r>
    </w:p>
    <w:p w14:paraId="23F98F50" w14:textId="77777777" w:rsidR="006D0921" w:rsidRDefault="00000000">
      <w:pPr>
        <w:pStyle w:val="ListBullet"/>
        <w:spacing w:after="60"/>
      </w:pPr>
      <w:r>
        <w:rPr>
          <w:rFonts w:cs="Arial"/>
          <w:b/>
          <w:color w:val="0A0A0A"/>
        </w:rPr>
        <w:t xml:space="preserve">Steuervorauszahlungen. </w:t>
      </w:r>
      <w:r>
        <w:rPr>
          <w:rFonts w:cs="Arial"/>
        </w:rPr>
        <w:t>Quartalsweise und planbar, und treffen trotzdem viele unvorbereitet.</w:t>
      </w:r>
    </w:p>
    <w:p w14:paraId="37FBC6E8" w14:textId="77777777" w:rsidR="006D0921" w:rsidRDefault="00000000">
      <w:pPr>
        <w:pStyle w:val="ListBullet"/>
        <w:spacing w:after="60"/>
      </w:pPr>
      <w:r>
        <w:rPr>
          <w:rFonts w:cs="Arial"/>
          <w:b/>
          <w:color w:val="0A0A0A"/>
        </w:rPr>
        <w:t xml:space="preserve">Lange Zahlungsziele und Außenstände. </w:t>
      </w:r>
      <w:r>
        <w:rPr>
          <w:rFonts w:cs="Arial"/>
        </w:rPr>
        <w:t>Je später Kunden zahlen, desto mehr finanzieren Sie deren Projekte vor.</w:t>
      </w:r>
    </w:p>
    <w:p w14:paraId="510A79C3" w14:textId="77777777" w:rsidR="006D0921" w:rsidRDefault="00000000">
      <w:pPr>
        <w:pStyle w:val="ListBullet"/>
        <w:spacing w:after="60"/>
      </w:pPr>
      <w:r>
        <w:rPr>
          <w:rFonts w:cs="Arial"/>
          <w:b/>
          <w:color w:val="0A0A0A"/>
        </w:rPr>
        <w:t xml:space="preserve">Lohnlauf. </w:t>
      </w:r>
      <w:r>
        <w:rPr>
          <w:rFonts w:cs="Arial"/>
        </w:rPr>
        <w:t>Fix und unverschiebbar, er muss jede Woche gedeckt sein, auch in der Flaute.</w:t>
      </w:r>
    </w:p>
    <w:p w14:paraId="19EE129F" w14:textId="77777777" w:rsidR="006D0921" w:rsidRDefault="00000000">
      <w:pPr>
        <w:pStyle w:val="ListBullet"/>
        <w:spacing w:after="60"/>
      </w:pPr>
      <w:r>
        <w:rPr>
          <w:rFonts w:cs="Arial"/>
          <w:b/>
          <w:color w:val="0A0A0A"/>
        </w:rPr>
        <w:t xml:space="preserve">Saisonalität. </w:t>
      </w:r>
      <w:r>
        <w:rPr>
          <w:rFonts w:cs="Arial"/>
        </w:rPr>
        <w:t>Umsatzschwache Monate brauchen einen Puffer aus den starken.</w:t>
      </w:r>
    </w:p>
    <w:p w14:paraId="5D4D1D00" w14:textId="77777777" w:rsidR="006D0921" w:rsidRDefault="00000000">
      <w:pPr>
        <w:pStyle w:val="Heading1"/>
      </w:pPr>
      <w:bookmarkStart w:id="6" w:name="_Toc231739985"/>
      <w:r>
        <w:rPr>
          <w:rFonts w:ascii="Arial" w:hAnsi="Arial" w:cs="Arial"/>
        </w:rPr>
        <w:t>6. Drei Hebel gegen den Engpass</w:t>
      </w:r>
      <w:bookmarkEnd w:id="6"/>
    </w:p>
    <w:p w14:paraId="725E6E86" w14:textId="77777777" w:rsidR="006D0921" w:rsidRDefault="00000000">
      <w:pPr>
        <w:pStyle w:val="ListBullet"/>
        <w:spacing w:after="60"/>
      </w:pPr>
      <w:r>
        <w:rPr>
          <w:rFonts w:cs="Arial"/>
          <w:b/>
          <w:color w:val="0A0A0A"/>
        </w:rPr>
        <w:t xml:space="preserve">Geld früher hereinholen. </w:t>
      </w:r>
      <w:r>
        <w:rPr>
          <w:rFonts w:cs="Arial"/>
        </w:rPr>
        <w:t>Anzahlungen und Teilrechnungen vereinbaren, so finanziert der Kunde mit, nicht Sie.</w:t>
      </w:r>
    </w:p>
    <w:p w14:paraId="2BC30F9B" w14:textId="77777777" w:rsidR="006D0921" w:rsidRDefault="00000000">
      <w:pPr>
        <w:pStyle w:val="ListBullet"/>
        <w:spacing w:after="60"/>
      </w:pPr>
      <w:r>
        <w:rPr>
          <w:rFonts w:cs="Arial"/>
          <w:b/>
          <w:color w:val="0A0A0A"/>
        </w:rPr>
        <w:t xml:space="preserve">Geld später hinausgeben. </w:t>
      </w:r>
      <w:r>
        <w:rPr>
          <w:rFonts w:cs="Arial"/>
        </w:rPr>
        <w:t>Eigene Zahlungsziele bei Lieferanten nutzen, Skonto bewusst abwägen, Termine glätten.</w:t>
      </w:r>
    </w:p>
    <w:p w14:paraId="753A699F" w14:textId="77777777" w:rsidR="006D0921" w:rsidRDefault="00000000">
      <w:pPr>
        <w:pStyle w:val="ListBullet"/>
        <w:spacing w:after="60"/>
      </w:pPr>
      <w:r>
        <w:rPr>
          <w:rFonts w:cs="Arial"/>
          <w:b/>
          <w:color w:val="0A0A0A"/>
        </w:rPr>
        <w:t xml:space="preserve">Puffer vorab sichern. </w:t>
      </w:r>
      <w:r>
        <w:rPr>
          <w:rFonts w:cs="Arial"/>
        </w:rPr>
        <w:t>Kreditlinie erhöhen, solange es dem Betrieb gut geht, nicht erst im Engpass.</w:t>
      </w:r>
    </w:p>
    <w:p w14:paraId="5CF3016E" w14:textId="77777777" w:rsidR="006D0921" w:rsidRDefault="00000000">
      <w:pPr>
        <w:pStyle w:val="Heading1"/>
      </w:pPr>
      <w:bookmarkStart w:id="7" w:name="_Toc231739986"/>
      <w:r>
        <w:rPr>
          <w:rFonts w:ascii="Arial" w:hAnsi="Arial" w:cs="Arial"/>
        </w:rPr>
        <w:t>7. Mit Szenarien rechnen</w:t>
      </w:r>
      <w:bookmarkEnd w:id="7"/>
    </w:p>
    <w:p w14:paraId="718ABEC9" w14:textId="77777777" w:rsidR="006D0921" w:rsidRDefault="00000000">
      <w:pPr>
        <w:spacing w:after="120"/>
      </w:pPr>
      <w:r>
        <w:rPr>
          <w:rFonts w:cs="Arial"/>
        </w:rPr>
        <w:t>Planen Sie nie nur den Idealfall. Rechnen Sie drei Varianten, indem Sie die Einnahmen anpassen: Best Case, Realistisch und Worst Case (z. B. Einnahmen −25 %). Erst der Worst Case zeigt, ob Ihr Puffer trägt, und wann Sie spätestens handeln müssen.</w:t>
      </w:r>
    </w:p>
    <w:p w14:paraId="72C61F73" w14:textId="77777777" w:rsidR="006D0921" w:rsidRDefault="00000000">
      <w:pPr>
        <w:pStyle w:val="Heading1"/>
      </w:pPr>
      <w:bookmarkStart w:id="8" w:name="_Toc231739987"/>
      <w:r>
        <w:rPr>
          <w:rFonts w:ascii="Arial" w:hAnsi="Arial" w:cs="Arial"/>
        </w:rPr>
        <w:t>8. Ihr nächster Schritt</w:t>
      </w:r>
      <w:bookmarkEnd w:id="8"/>
    </w:p>
    <w:p w14:paraId="35B17757" w14:textId="77777777" w:rsidR="006D0921" w:rsidRDefault="00000000">
      <w:pPr>
        <w:spacing w:after="120"/>
      </w:pPr>
      <w:r>
        <w:rPr>
          <w:rFonts w:cs="Arial"/>
        </w:rPr>
        <w:t>Öffnen Sie den Liquiditätsplan, laden Sie Ihren Kontoauszug und tragen Sie die nächsten bekannten Sonderereignisse ein. Sie sehen sofort Ihren Tiefpunkt der nächsten 13 Wochen. Pflegen Sie den Plan ab jetzt wöchentlich, die genaue Anleitung steht im Praxis-Leitfaden.</w:t>
      </w:r>
    </w:p>
    <w:tbl>
      <w:tblPr>
        <w:tblW w:w="0" w:type="auto"/>
        <w:jc w:val="center"/>
        <w:tblLook w:val="04A0" w:firstRow="1" w:lastRow="0" w:firstColumn="1" w:lastColumn="0" w:noHBand="0" w:noVBand="1"/>
      </w:tblPr>
      <w:tblGrid>
        <w:gridCol w:w="9746"/>
      </w:tblGrid>
      <w:tr w:rsidR="006D0921" w14:paraId="189843B7" w14:textId="77777777">
        <w:trPr>
          <w:jc w:val="center"/>
        </w:trPr>
        <w:tc>
          <w:tcPr>
            <w:tcW w:w="9746" w:type="dxa"/>
            <w:shd w:val="clear" w:color="auto" w:fill="0A0A0A"/>
            <w:tcMar>
              <w:top w:w="140" w:type="dxa"/>
              <w:left w:w="160" w:type="dxa"/>
              <w:bottom w:w="140" w:type="dxa"/>
              <w:right w:w="160" w:type="dxa"/>
            </w:tcMar>
          </w:tcPr>
          <w:p w14:paraId="743C021E" w14:textId="77777777" w:rsidR="006D0921" w:rsidRDefault="00000000">
            <w:pPr>
              <w:spacing w:after="60"/>
            </w:pPr>
            <w:r>
              <w:rPr>
                <w:rFonts w:cs="Arial"/>
                <w:b/>
                <w:color w:val="FBCE3C"/>
                <w:sz w:val="20"/>
              </w:rPr>
              <w:t>ZUSAMMENSPIEL IM KIT</w:t>
            </w:r>
          </w:p>
          <w:p w14:paraId="3D2A3DF9" w14:textId="77777777" w:rsidR="006D0921" w:rsidRDefault="00000000">
            <w:pPr>
              <w:spacing w:after="0"/>
            </w:pPr>
            <w:r>
              <w:rPr>
                <w:rFonts w:cs="Arial"/>
                <w:color w:val="FFFFFF"/>
                <w:sz w:val="21"/>
              </w:rPr>
              <w:t>Werkzeug 1 und 2 sorgen für Marge, Werkzeug 3 für planbaren Umsatz, Werkzeug 4 sorgt dafür, dass Sie zahlungsfähig bleiben, während Sie wachsen.</w:t>
            </w:r>
          </w:p>
        </w:tc>
      </w:tr>
    </w:tbl>
    <w:p w14:paraId="246A772F" w14:textId="77777777" w:rsidR="006D0921" w:rsidRDefault="006D0921">
      <w:pPr>
        <w:spacing w:after="120"/>
      </w:pPr>
    </w:p>
    <w:p w14:paraId="236B064A" w14:textId="77777777" w:rsidR="006D0921" w:rsidRDefault="006D0921">
      <w:pPr>
        <w:pBdr>
          <w:bottom w:val="single" w:sz="24" w:space="1" w:color="FBCE3C"/>
        </w:pBdr>
        <w:spacing w:after="80"/>
      </w:pPr>
    </w:p>
    <w:p w14:paraId="5BDD11E8" w14:textId="77777777" w:rsidR="006D0921" w:rsidRDefault="00000000">
      <w:pPr>
        <w:spacing w:after="0"/>
      </w:pPr>
      <w:r>
        <w:rPr>
          <w:rFonts w:cs="Arial"/>
          <w:i/>
          <w:color w:val="888888"/>
          <w:sz w:val="16"/>
        </w:rPr>
        <w:t>Betriebswirtschaftliche Orientierungshilfe. Keine Rechts- oder Steuerberatung. Alle Beträge netto. © Vorsprung Handwerk GmbH, Nürtingen.</w:t>
      </w:r>
    </w:p>
    <w:sectPr w:rsidR="006D0921" w:rsidSect="00034616">
      <w:footerReference w:type="default" r:id="rId8"/>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5EC22" w14:textId="77777777" w:rsidR="00870B92" w:rsidRDefault="00870B92">
      <w:pPr>
        <w:spacing w:after="0" w:line="240" w:lineRule="auto"/>
      </w:pPr>
      <w:r>
        <w:separator/>
      </w:r>
    </w:p>
  </w:endnote>
  <w:endnote w:type="continuationSeparator" w:id="0">
    <w:p w14:paraId="5FF2D8CD" w14:textId="77777777" w:rsidR="00870B92" w:rsidRDefault="00870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3556E" w14:textId="77777777" w:rsidR="006D0921" w:rsidRPr="00F7616C" w:rsidRDefault="00000000">
    <w:pPr>
      <w:pStyle w:val="Footer"/>
      <w:rPr>
        <w:lang w:val="de-DE"/>
      </w:rPr>
    </w:pPr>
    <w:r w:rsidRPr="00F7616C">
      <w:rPr>
        <w:rFonts w:cs="Arial"/>
        <w:color w:val="888888"/>
        <w:sz w:val="16"/>
        <w:lang w:val="de-DE"/>
      </w:rPr>
      <w:t xml:space="preserve">HandwerkStars · Vorsprung Handwerk GmbH · handwerkstars.de   |   Werkzeug 4 · Methoden-Arbeitsheft   |   Seite </w:t>
    </w:r>
    <w:r>
      <w:rPr>
        <w:color w:val="888888"/>
        <w:sz w:val="16"/>
      </w:rPr>
      <w:fldChar w:fldCharType="begin"/>
    </w:r>
    <w:r w:rsidRPr="00F7616C">
      <w:rPr>
        <w:color w:val="888888"/>
        <w:sz w:val="16"/>
        <w:lang w:val="de-DE"/>
      </w:rPr>
      <w:instrText>PAGE</w:instrText>
    </w:r>
    <w:r w:rsidR="00F7616C">
      <w:rPr>
        <w:color w:val="888888"/>
        <w:sz w:val="16"/>
      </w:rPr>
      <w:fldChar w:fldCharType="separate"/>
    </w:r>
    <w:r w:rsidR="00F7616C" w:rsidRPr="00F7616C">
      <w:rPr>
        <w:noProof/>
        <w:color w:val="888888"/>
        <w:sz w:val="16"/>
        <w:lang w:val="de-DE"/>
      </w:rPr>
      <w:t>1</w:t>
    </w:r>
    <w:r>
      <w:rPr>
        <w:color w:val="888888"/>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3431E" w14:textId="77777777" w:rsidR="00870B92" w:rsidRDefault="00870B92">
      <w:pPr>
        <w:spacing w:after="0" w:line="240" w:lineRule="auto"/>
      </w:pPr>
      <w:r>
        <w:separator/>
      </w:r>
    </w:p>
  </w:footnote>
  <w:footnote w:type="continuationSeparator" w:id="0">
    <w:p w14:paraId="706DCCF1" w14:textId="77777777" w:rsidR="00870B92" w:rsidRDefault="00870B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17659094">
    <w:abstractNumId w:val="8"/>
  </w:num>
  <w:num w:numId="2" w16cid:durableId="2021621260">
    <w:abstractNumId w:val="6"/>
  </w:num>
  <w:num w:numId="3" w16cid:durableId="405615448">
    <w:abstractNumId w:val="5"/>
  </w:num>
  <w:num w:numId="4" w16cid:durableId="1278369502">
    <w:abstractNumId w:val="4"/>
  </w:num>
  <w:num w:numId="5" w16cid:durableId="407074624">
    <w:abstractNumId w:val="7"/>
  </w:num>
  <w:num w:numId="6" w16cid:durableId="111873877">
    <w:abstractNumId w:val="3"/>
  </w:num>
  <w:num w:numId="7" w16cid:durableId="276987764">
    <w:abstractNumId w:val="2"/>
  </w:num>
  <w:num w:numId="8" w16cid:durableId="1194611109">
    <w:abstractNumId w:val="1"/>
  </w:num>
  <w:num w:numId="9" w16cid:durableId="1964114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40BB"/>
    <w:rsid w:val="00326F90"/>
    <w:rsid w:val="006D0921"/>
    <w:rsid w:val="00870B92"/>
    <w:rsid w:val="00AA1D8D"/>
    <w:rsid w:val="00B47730"/>
    <w:rsid w:val="00CB0664"/>
    <w:rsid w:val="00F7616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296225"/>
  <w14:defaultImageDpi w14:val="300"/>
  <w15:docId w15:val="{B4C6F4A1-ECBE-6C48-BA4D-3A10876CE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33333"/>
    </w:rPr>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b/>
      <w:bCs/>
      <w:color w:val="0A0A0A"/>
      <w:sz w:val="32"/>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b/>
      <w:bCs/>
      <w:color w:val="0A0A0A"/>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0A0A0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2">
    <w:name w:val="toc 2"/>
    <w:basedOn w:val="Normal"/>
    <w:next w:val="Normal"/>
    <w:autoRedefine/>
    <w:uiPriority w:val="39"/>
    <w:unhideWhenUsed/>
    <w:rsid w:val="00F7616C"/>
    <w:pPr>
      <w:spacing w:after="100"/>
      <w:ind w:left="220"/>
    </w:pPr>
  </w:style>
  <w:style w:type="paragraph" w:styleId="TOC1">
    <w:name w:val="toc 1"/>
    <w:basedOn w:val="Normal"/>
    <w:next w:val="Normal"/>
    <w:autoRedefine/>
    <w:uiPriority w:val="39"/>
    <w:unhideWhenUsed/>
    <w:rsid w:val="00F7616C"/>
    <w:pPr>
      <w:spacing w:after="100"/>
    </w:pPr>
  </w:style>
  <w:style w:type="character" w:styleId="Hyperlink">
    <w:name w:val="Hyperlink"/>
    <w:basedOn w:val="DefaultParagraphFont"/>
    <w:uiPriority w:val="99"/>
    <w:unhideWhenUsed/>
    <w:rsid w:val="00F761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757</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Liquidität sehen, bevor sie knapp wird, Methoden-Arbeitsheft</dc:title>
  <dc:subject/>
  <dc:creator>Jerome Fischer</dc:creator>
  <cp:keywords/>
  <dc:description>generated by python-docx</dc:description>
  <cp:lastModifiedBy>Jerome Fischer</cp:lastModifiedBy>
  <cp:revision>2</cp:revision>
  <dcterms:created xsi:type="dcterms:W3CDTF">2013-12-23T23:15:00Z</dcterms:created>
  <dcterms:modified xsi:type="dcterms:W3CDTF">2026-06-07T13:52:00Z</dcterms:modified>
  <cp:category/>
  <dc:language>de-DE</dc:language>
</cp:coreProperties>
</file>