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614F38" w14:paraId="2E0CB6B4" w14:textId="77777777">
        <w:trPr>
          <w:jc w:val="center"/>
        </w:trPr>
        <w:tc>
          <w:tcPr>
            <w:tcW w:w="9746" w:type="dxa"/>
            <w:shd w:val="clear" w:color="auto" w:fill="0A0A0A"/>
            <w:tcMar>
              <w:top w:w="420" w:type="dxa"/>
              <w:left w:w="360" w:type="dxa"/>
              <w:bottom w:w="420" w:type="dxa"/>
              <w:right w:w="360" w:type="dxa"/>
            </w:tcMar>
          </w:tcPr>
          <w:p w14:paraId="2F627F66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b/>
                <w:color w:val="FBCE3C"/>
                <w:sz w:val="26"/>
                <w:lang w:val="de-DE"/>
              </w:rPr>
              <w:t xml:space="preserve">★ </w:t>
            </w:r>
            <w:r w:rsidRPr="00FC4F32">
              <w:rPr>
                <w:rFonts w:cs="Arial"/>
                <w:b/>
                <w:color w:val="FFFFFF"/>
                <w:sz w:val="26"/>
                <w:lang w:val="de-DE"/>
              </w:rPr>
              <w:t>HANDWERK</w:t>
            </w:r>
            <w:r w:rsidRPr="00FC4F32">
              <w:rPr>
                <w:rFonts w:cs="Arial"/>
                <w:b/>
                <w:color w:val="FBCE3C"/>
                <w:sz w:val="26"/>
                <w:lang w:val="de-DE"/>
              </w:rPr>
              <w:t>STARS</w:t>
            </w:r>
          </w:p>
          <w:p w14:paraId="70BE4584" w14:textId="77777777" w:rsidR="00614F38" w:rsidRPr="00FC4F32" w:rsidRDefault="00000000">
            <w:pPr>
              <w:spacing w:after="240"/>
              <w:rPr>
                <w:lang w:val="de-DE"/>
              </w:rPr>
            </w:pPr>
            <w:r w:rsidRPr="00FC4F32">
              <w:rPr>
                <w:rFonts w:cs="Arial"/>
                <w:b/>
                <w:color w:val="FBCE3C"/>
                <w:sz w:val="18"/>
                <w:lang w:val="de-DE"/>
              </w:rPr>
              <w:t>TOP-HANDWERKER ERFOLGSKIT · WERKZEUG 4 VON 7</w:t>
            </w:r>
          </w:p>
          <w:p w14:paraId="4E7DD482" w14:textId="77777777" w:rsidR="00614F38" w:rsidRPr="00FC4F32" w:rsidRDefault="00000000">
            <w:pPr>
              <w:spacing w:after="160"/>
              <w:rPr>
                <w:lang w:val="de-DE"/>
              </w:rPr>
            </w:pPr>
            <w:r w:rsidRPr="00FC4F32">
              <w:rPr>
                <w:rFonts w:cs="Arial"/>
                <w:b/>
                <w:color w:val="FFFFFF"/>
                <w:sz w:val="44"/>
                <w:lang w:val="de-DE"/>
              </w:rPr>
              <w:t>Den Liquiditätsplan in 20 Minuten aufsetzen</w:t>
            </w:r>
          </w:p>
          <w:p w14:paraId="4C4E6D4C" w14:textId="77777777" w:rsidR="00614F38" w:rsidRPr="00FC4F32" w:rsidRDefault="00000000">
            <w:pPr>
              <w:spacing w:after="320"/>
              <w:rPr>
                <w:lang w:val="de-DE"/>
              </w:rPr>
            </w:pPr>
            <w:r w:rsidRPr="00FC4F32">
              <w:rPr>
                <w:rFonts w:cs="Arial"/>
                <w:color w:val="DDDDDD"/>
                <w:sz w:val="24"/>
                <w:lang w:val="de-DE"/>
              </w:rPr>
              <w:t>Der Praxis-Leitfaden: aus Kontoauszug zum Frühwarnsystem</w:t>
            </w:r>
          </w:p>
          <w:p w14:paraId="77C3CFED" w14:textId="77777777" w:rsidR="00614F38" w:rsidRDefault="00000000">
            <w:pPr>
              <w:spacing w:after="0"/>
            </w:pPr>
            <w:r>
              <w:rPr>
                <w:rFonts w:cs="Arial"/>
                <w:b/>
                <w:color w:val="FBCE3C"/>
                <w:sz w:val="20"/>
              </w:rPr>
              <w:t xml:space="preserve">Eine Klasse für </w:t>
            </w:r>
            <w:proofErr w:type="spellStart"/>
            <w:r>
              <w:rPr>
                <w:rFonts w:cs="Arial"/>
                <w:b/>
                <w:color w:val="FBCE3C"/>
                <w:sz w:val="20"/>
              </w:rPr>
              <w:t>sich</w:t>
            </w:r>
            <w:proofErr w:type="spellEnd"/>
            <w:r>
              <w:rPr>
                <w:rFonts w:cs="Arial"/>
                <w:b/>
                <w:color w:val="FBCE3C"/>
                <w:sz w:val="20"/>
              </w:rPr>
              <w:t>.</w:t>
            </w:r>
          </w:p>
        </w:tc>
      </w:tr>
    </w:tbl>
    <w:p w14:paraId="38C9D7C1" w14:textId="77777777" w:rsidR="00614F38" w:rsidRDefault="00614F38"/>
    <w:p w14:paraId="3266E214" w14:textId="77777777" w:rsidR="00614F38" w:rsidRDefault="00000000">
      <w:pPr>
        <w:pStyle w:val="Heading2"/>
      </w:pPr>
      <w:bookmarkStart w:id="0" w:name="_Toc231740000"/>
      <w:r>
        <w:rPr>
          <w:rFonts w:ascii="Arial" w:hAnsi="Arial" w:cs="Arial"/>
        </w:rPr>
        <w:t>Inhalt</w:t>
      </w:r>
      <w:bookmarkEnd w:id="0"/>
    </w:p>
    <w:p w14:paraId="2FFBE060" w14:textId="77777777" w:rsidR="00FC4F32" w:rsidRDefault="00000000">
      <w:pPr>
        <w:pStyle w:val="TOC2"/>
        <w:tabs>
          <w:tab w:val="right" w:leader="dot" w:pos="9736"/>
        </w:tabs>
        <w:rPr>
          <w:noProof/>
        </w:rPr>
      </w:pPr>
      <w:r>
        <w:fldChar w:fldCharType="begin"/>
      </w:r>
      <w:r>
        <w:instrText>TOC \o "1-2" \h \z \u</w:instrText>
      </w:r>
      <w:r>
        <w:fldChar w:fldCharType="separate"/>
      </w:r>
      <w:hyperlink w:anchor="_Toc231740000" w:history="1">
        <w:r w:rsidR="00FC4F32" w:rsidRPr="002D610F">
          <w:rPr>
            <w:rStyle w:val="Hyperlink"/>
            <w:rFonts w:cs="Arial"/>
            <w:noProof/>
          </w:rPr>
          <w:t>Inhalt</w:t>
        </w:r>
        <w:r w:rsidR="00FC4F32">
          <w:rPr>
            <w:noProof/>
            <w:webHidden/>
          </w:rPr>
          <w:tab/>
        </w:r>
        <w:r w:rsidR="00FC4F32">
          <w:rPr>
            <w:noProof/>
            <w:webHidden/>
          </w:rPr>
          <w:fldChar w:fldCharType="begin"/>
        </w:r>
        <w:r w:rsidR="00FC4F32">
          <w:rPr>
            <w:noProof/>
            <w:webHidden/>
          </w:rPr>
          <w:instrText xml:space="preserve"> PAGEREF _Toc231740000 \h </w:instrText>
        </w:r>
        <w:r w:rsidR="00FC4F32">
          <w:rPr>
            <w:noProof/>
            <w:webHidden/>
          </w:rPr>
        </w:r>
        <w:r w:rsidR="00FC4F32">
          <w:rPr>
            <w:noProof/>
            <w:webHidden/>
          </w:rPr>
          <w:fldChar w:fldCharType="separate"/>
        </w:r>
        <w:r w:rsidR="00FC4F32">
          <w:rPr>
            <w:noProof/>
            <w:webHidden/>
          </w:rPr>
          <w:t>1</w:t>
        </w:r>
        <w:r w:rsidR="00FC4F32">
          <w:rPr>
            <w:noProof/>
            <w:webHidden/>
          </w:rPr>
          <w:fldChar w:fldCharType="end"/>
        </w:r>
      </w:hyperlink>
    </w:p>
    <w:p w14:paraId="6CDB84CF" w14:textId="77777777" w:rsidR="00FC4F32" w:rsidRDefault="00FC4F32">
      <w:pPr>
        <w:pStyle w:val="TOC1"/>
        <w:tabs>
          <w:tab w:val="right" w:leader="dot" w:pos="9736"/>
        </w:tabs>
        <w:rPr>
          <w:noProof/>
        </w:rPr>
      </w:pPr>
      <w:hyperlink w:anchor="_Toc231740001" w:history="1">
        <w:r w:rsidRPr="002D610F">
          <w:rPr>
            <w:rStyle w:val="Hyperlink"/>
            <w:rFonts w:cs="Arial"/>
            <w:noProof/>
          </w:rPr>
          <w:t>1. Das Ziel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_Toc231740001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82F368" w14:textId="77777777" w:rsidR="00FC4F32" w:rsidRDefault="00FC4F32">
      <w:pPr>
        <w:pStyle w:val="TOC1"/>
        <w:tabs>
          <w:tab w:val="right" w:leader="dot" w:pos="9736"/>
        </w:tabs>
        <w:rPr>
          <w:noProof/>
        </w:rPr>
      </w:pPr>
      <w:hyperlink w:anchor="_Toc231740002" w:history="1">
        <w:r w:rsidRPr="002D610F">
          <w:rPr>
            <w:rStyle w:val="Hyperlink"/>
            <w:rFonts w:cs="Arial"/>
            <w:noProof/>
          </w:rPr>
          <w:t>2. Schritt für Schritt mit Ihrem Kontoauszug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_Toc231740002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6C0C084" w14:textId="77777777" w:rsidR="00FC4F32" w:rsidRDefault="00FC4F32">
      <w:pPr>
        <w:pStyle w:val="TOC1"/>
        <w:tabs>
          <w:tab w:val="right" w:leader="dot" w:pos="9736"/>
        </w:tabs>
        <w:rPr>
          <w:noProof/>
        </w:rPr>
      </w:pPr>
      <w:hyperlink w:anchor="_Toc231740003" w:history="1">
        <w:r w:rsidRPr="002D610F">
          <w:rPr>
            <w:rStyle w:val="Hyperlink"/>
            <w:rFonts w:cs="Arial"/>
            <w:noProof/>
          </w:rPr>
          <w:t>3. Der wöchentliche Pflege-Rhythmus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_Toc231740003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A6325D" w14:textId="77777777" w:rsidR="00FC4F32" w:rsidRDefault="00FC4F32">
      <w:pPr>
        <w:pStyle w:val="TOC1"/>
        <w:tabs>
          <w:tab w:val="right" w:leader="dot" w:pos="9736"/>
        </w:tabs>
        <w:rPr>
          <w:noProof/>
        </w:rPr>
      </w:pPr>
      <w:hyperlink w:anchor="_Toc231740004" w:history="1">
        <w:r w:rsidRPr="002D610F">
          <w:rPr>
            <w:rStyle w:val="Hyperlink"/>
            <w:rFonts w:cs="Arial"/>
            <w:noProof/>
          </w:rPr>
          <w:t>4. Bei Gelb oder Rot: was tun?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_Toc231740004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1E6EC49" w14:textId="77777777" w:rsidR="00FC4F32" w:rsidRDefault="00FC4F32">
      <w:pPr>
        <w:pStyle w:val="TOC1"/>
        <w:tabs>
          <w:tab w:val="right" w:leader="dot" w:pos="9736"/>
        </w:tabs>
        <w:rPr>
          <w:noProof/>
        </w:rPr>
      </w:pPr>
      <w:hyperlink w:anchor="_Toc231740005" w:history="1">
        <w:r w:rsidRPr="002D610F">
          <w:rPr>
            <w:rStyle w:val="Hyperlink"/>
            <w:rFonts w:cs="Arial"/>
            <w:noProof/>
          </w:rPr>
          <w:t>5. Checkliste für die ersten 30 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_Toc231740005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3035F79" w14:textId="77777777" w:rsidR="00614F38" w:rsidRDefault="00000000">
      <w:r>
        <w:fldChar w:fldCharType="end"/>
      </w:r>
    </w:p>
    <w:p w14:paraId="23726C37" w14:textId="77777777" w:rsidR="00614F38" w:rsidRDefault="00000000">
      <w:r>
        <w:br w:type="page"/>
      </w:r>
    </w:p>
    <w:p w14:paraId="77AE49DA" w14:textId="77777777" w:rsidR="00614F38" w:rsidRPr="00FC4F32" w:rsidRDefault="00000000">
      <w:pPr>
        <w:pStyle w:val="Heading1"/>
        <w:rPr>
          <w:lang w:val="de-DE"/>
        </w:rPr>
      </w:pPr>
      <w:bookmarkStart w:id="1" w:name="_Toc231740001"/>
      <w:r w:rsidRPr="00FC4F32">
        <w:rPr>
          <w:rFonts w:ascii="Arial" w:hAnsi="Arial" w:cs="Arial"/>
          <w:lang w:val="de-DE"/>
        </w:rPr>
        <w:lastRenderedPageBreak/>
        <w:t>1. Das Ziel</w:t>
      </w:r>
      <w:bookmarkEnd w:id="1"/>
    </w:p>
    <w:p w14:paraId="74542229" w14:textId="77777777" w:rsidR="00614F38" w:rsidRPr="00FC4F32" w:rsidRDefault="00000000">
      <w:pPr>
        <w:spacing w:after="120"/>
        <w:rPr>
          <w:lang w:val="de-DE"/>
        </w:rPr>
      </w:pPr>
      <w:r w:rsidRPr="00FC4F32">
        <w:rPr>
          <w:rFonts w:cs="Arial"/>
          <w:lang w:val="de-DE"/>
        </w:rPr>
        <w:t>In gut 20 Minuten steht Ihr persönlicher 13-Wochen-Liquiditätsplan, befüllt mit echten Zahlen aus Ihrem Kontoauszug, nicht mit Schätzungen. Danach kostet die wöchentliche Pflege nur noch wenige Minuten.</w:t>
      </w:r>
    </w:p>
    <w:p w14:paraId="5AAF635F" w14:textId="77777777" w:rsidR="00614F38" w:rsidRPr="00FC4F32" w:rsidRDefault="00000000">
      <w:pPr>
        <w:pStyle w:val="Heading1"/>
        <w:rPr>
          <w:lang w:val="de-DE"/>
        </w:rPr>
      </w:pPr>
      <w:bookmarkStart w:id="2" w:name="_Toc231740002"/>
      <w:r w:rsidRPr="00FC4F32">
        <w:rPr>
          <w:rFonts w:ascii="Arial" w:hAnsi="Arial" w:cs="Arial"/>
          <w:lang w:val="de-DE"/>
        </w:rPr>
        <w:t>2. Schritt für Schritt mit Ihrem Kontoauszug</w:t>
      </w:r>
      <w:bookmarkEnd w:id="2"/>
    </w:p>
    <w:p w14:paraId="158423AF" w14:textId="77777777" w:rsidR="00614F38" w:rsidRPr="00FC4F32" w:rsidRDefault="00000000">
      <w:pPr>
        <w:spacing w:after="8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>Schritt 1: Kontoauszug als CSV exportieren</w:t>
      </w:r>
    </w:p>
    <w:p w14:paraId="0959A0D5" w14:textId="77777777" w:rsidR="00614F38" w:rsidRPr="00FC4F32" w:rsidRDefault="00000000">
      <w:pPr>
        <w:spacing w:after="160"/>
        <w:rPr>
          <w:lang w:val="de-DE"/>
        </w:rPr>
      </w:pPr>
      <w:r w:rsidRPr="00FC4F32">
        <w:rPr>
          <w:rFonts w:cs="Arial"/>
          <w:lang w:val="de-DE"/>
        </w:rPr>
        <w:t>Im Online-Banking die letzten zwei bis drei Monate als CSV-Datei herunterladen (Funktion „Export“ oder „Umsätze exportieren“).</w:t>
      </w:r>
    </w:p>
    <w:p w14:paraId="4E7BBDF4" w14:textId="77777777" w:rsidR="00614F38" w:rsidRPr="00FC4F32" w:rsidRDefault="00000000">
      <w:pPr>
        <w:spacing w:after="8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>Schritt 2: Datei in die App laden</w:t>
      </w:r>
    </w:p>
    <w:p w14:paraId="7C332AC7" w14:textId="77777777" w:rsidR="00614F38" w:rsidRPr="00FC4F32" w:rsidRDefault="00000000">
      <w:pPr>
        <w:spacing w:after="160"/>
        <w:rPr>
          <w:lang w:val="de-DE"/>
        </w:rPr>
      </w:pPr>
      <w:r w:rsidRPr="00FC4F32">
        <w:rPr>
          <w:rFonts w:cs="Arial"/>
          <w:lang w:val="de-DE"/>
        </w:rPr>
        <w:t>Im Liquiditätsplan auf „CSV-Datei wählen“ klicken. Die App ermittelt automatisch Ihren aktuellen Kontostand sowie die durchschnittlichen Einnahmen und Ausgaben pro Woche. Die Datei bleibt dabei lokal auf Ihrem Gerät.</w:t>
      </w:r>
    </w:p>
    <w:p w14:paraId="51FD1F22" w14:textId="77777777" w:rsidR="00614F38" w:rsidRPr="00FC4F32" w:rsidRDefault="00000000">
      <w:pPr>
        <w:spacing w:after="8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>Schritt 3: Werte übernehmen</w:t>
      </w:r>
    </w:p>
    <w:p w14:paraId="76A04B84" w14:textId="77777777" w:rsidR="00614F38" w:rsidRPr="00FC4F32" w:rsidRDefault="00000000">
      <w:pPr>
        <w:spacing w:after="160"/>
        <w:rPr>
          <w:lang w:val="de-DE"/>
        </w:rPr>
      </w:pPr>
      <w:r w:rsidRPr="00FC4F32">
        <w:rPr>
          <w:rFonts w:cs="Arial"/>
          <w:lang w:val="de-DE"/>
        </w:rPr>
        <w:t>Auf „Werte in den Plan übernehmen“ klicken. Startsaldo und Durchschnittswerte sind nun gesetzt. Verteilen Sie die Ausgaben bei Bedarf auf Material und Löhne.</w:t>
      </w:r>
    </w:p>
    <w:p w14:paraId="7E7E03EE" w14:textId="77777777" w:rsidR="00614F38" w:rsidRPr="00FC4F32" w:rsidRDefault="00000000">
      <w:pPr>
        <w:spacing w:after="8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>Schritt 4: Sonderereignisse ergänzen</w:t>
      </w:r>
    </w:p>
    <w:p w14:paraId="4369C0C4" w14:textId="77777777" w:rsidR="00614F38" w:rsidRPr="00FC4F32" w:rsidRDefault="00000000">
      <w:pPr>
        <w:spacing w:after="160"/>
        <w:rPr>
          <w:lang w:val="de-DE"/>
        </w:rPr>
      </w:pPr>
      <w:r w:rsidRPr="00FC4F32">
        <w:rPr>
          <w:rFonts w:cs="Arial"/>
          <w:lang w:val="de-DE"/>
        </w:rPr>
        <w:t>Tragen Sie die bekannten Zukunftsposten ein: Steuervorauszahlung, Materialvorfinanzierung großer Aufträge, Tilgungen, geplante Anschaffungen, jeweils in der richtigen Woche.</w:t>
      </w:r>
    </w:p>
    <w:p w14:paraId="4B14EA0E" w14:textId="77777777" w:rsidR="00614F38" w:rsidRPr="00FC4F32" w:rsidRDefault="00000000">
      <w:pPr>
        <w:spacing w:after="8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>Schritt 5: Warnschwelle und Reserve setzen</w:t>
      </w:r>
    </w:p>
    <w:p w14:paraId="7C640688" w14:textId="77777777" w:rsidR="00614F38" w:rsidRPr="00FC4F32" w:rsidRDefault="00000000">
      <w:pPr>
        <w:spacing w:after="160"/>
        <w:rPr>
          <w:lang w:val="de-DE"/>
        </w:rPr>
      </w:pPr>
      <w:r w:rsidRPr="00FC4F32">
        <w:rPr>
          <w:rFonts w:cs="Arial"/>
          <w:lang w:val="de-DE"/>
        </w:rPr>
        <w:t>Warnschwelle = Ihre Kreditlinie (negativ eintragen). Reserve = Ihr Sicherheitspuffer. Jetzt zeigt der Plan Ihren Tiefpunkt und die Ampel je Woche.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614F38" w:rsidRPr="00FC4F32" w14:paraId="5DE1ABC0" w14:textId="77777777">
        <w:trPr>
          <w:jc w:val="center"/>
        </w:trPr>
        <w:tc>
          <w:tcPr>
            <w:tcW w:w="9746" w:type="dxa"/>
            <w:shd w:val="clear" w:color="auto" w:fill="0A0A0A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45B7B61" w14:textId="77777777" w:rsidR="00614F38" w:rsidRPr="00FC4F32" w:rsidRDefault="00000000">
            <w:pPr>
              <w:spacing w:after="60"/>
              <w:rPr>
                <w:lang w:val="de-DE"/>
              </w:rPr>
            </w:pPr>
            <w:r w:rsidRPr="00FC4F32">
              <w:rPr>
                <w:rFonts w:cs="Arial"/>
                <w:b/>
                <w:color w:val="FBCE3C"/>
                <w:sz w:val="20"/>
                <w:lang w:val="de-DE"/>
              </w:rPr>
              <w:t>DATENSCHUTZ</w:t>
            </w:r>
          </w:p>
          <w:p w14:paraId="64990856" w14:textId="77777777" w:rsidR="00614F38" w:rsidRPr="00FC4F32" w:rsidRDefault="00000000">
            <w:pPr>
              <w:spacing w:after="0"/>
              <w:rPr>
                <w:lang w:val="de-DE"/>
              </w:rPr>
            </w:pPr>
            <w:r w:rsidRPr="00FC4F32">
              <w:rPr>
                <w:rFonts w:cs="Arial"/>
                <w:color w:val="FFFFFF"/>
                <w:sz w:val="21"/>
                <w:lang w:val="de-DE"/>
              </w:rPr>
              <w:t>Ihr Kontoauszug wird ausschließlich lokal in Ihrem Browser verarbeitet und niemals hochgeladen oder gespeichert.</w:t>
            </w:r>
          </w:p>
        </w:tc>
      </w:tr>
    </w:tbl>
    <w:p w14:paraId="3586BCCB" w14:textId="77777777" w:rsidR="00614F38" w:rsidRPr="00FC4F32" w:rsidRDefault="00614F38">
      <w:pPr>
        <w:spacing w:after="120"/>
        <w:rPr>
          <w:lang w:val="de-DE"/>
        </w:rPr>
      </w:pPr>
    </w:p>
    <w:p w14:paraId="0D057BA2" w14:textId="77777777" w:rsidR="00614F38" w:rsidRPr="00FC4F32" w:rsidRDefault="00000000">
      <w:pPr>
        <w:pStyle w:val="Heading1"/>
        <w:rPr>
          <w:lang w:val="de-DE"/>
        </w:rPr>
      </w:pPr>
      <w:bookmarkStart w:id="3" w:name="_Toc231740003"/>
      <w:r w:rsidRPr="00FC4F32">
        <w:rPr>
          <w:rFonts w:ascii="Arial" w:hAnsi="Arial" w:cs="Arial"/>
          <w:lang w:val="de-DE"/>
        </w:rPr>
        <w:t>3. Der wöchentliche Pflege-Rhythmus</w:t>
      </w:r>
      <w:bookmarkEnd w:id="3"/>
    </w:p>
    <w:p w14:paraId="2664BF0F" w14:textId="77777777" w:rsidR="00614F38" w:rsidRPr="00FC4F32" w:rsidRDefault="00000000">
      <w:pPr>
        <w:spacing w:after="120"/>
        <w:rPr>
          <w:lang w:val="de-DE"/>
        </w:rPr>
      </w:pPr>
      <w:r w:rsidRPr="00FC4F32">
        <w:rPr>
          <w:rFonts w:cs="Arial"/>
          <w:lang w:val="de-DE"/>
        </w:rPr>
        <w:t>Halten Sie den Plan rollierend aktuell, das dauert wenige Minuten:</w:t>
      </w:r>
    </w:p>
    <w:p w14:paraId="020267B0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Rollieren. </w:t>
      </w:r>
      <w:r w:rsidRPr="00FC4F32">
        <w:rPr>
          <w:rFonts w:cs="Arial"/>
          <w:lang w:val="de-DE"/>
        </w:rPr>
        <w:t>Die abgelaufene Woche entfernen, hinten eine neue Woche anfügen.</w:t>
      </w:r>
    </w:p>
    <w:p w14:paraId="3150781F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Aktualisieren. </w:t>
      </w:r>
      <w:r w:rsidRPr="00FC4F32">
        <w:rPr>
          <w:rFonts w:cs="Arial"/>
          <w:lang w:val="de-DE"/>
        </w:rPr>
        <w:t>Tatsächliche Eingänge und neue bekannte Termine eintragen.</w:t>
      </w:r>
    </w:p>
    <w:p w14:paraId="771D050B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Vorausschauen. </w:t>
      </w:r>
      <w:r w:rsidRPr="00FC4F32">
        <w:rPr>
          <w:rFonts w:cs="Arial"/>
          <w:lang w:val="de-DE"/>
        </w:rPr>
        <w:t>Ampel prüfen: Wird in den nächsten Wochen eine Woche gelb oder rot?</w:t>
      </w:r>
    </w:p>
    <w:p w14:paraId="7C644737" w14:textId="6E868A21" w:rsidR="00FC4F32" w:rsidRPr="00FC4F32" w:rsidRDefault="00FC4F32" w:rsidP="00FC4F32">
      <w:pPr>
        <w:rPr>
          <w:lang w:val="de-DE"/>
        </w:rPr>
      </w:pPr>
      <w:bookmarkStart w:id="4" w:name="_Toc231740004"/>
      <w:r>
        <w:rPr>
          <w:lang w:val="de-DE"/>
        </w:rPr>
        <w:br/>
      </w:r>
    </w:p>
    <w:p w14:paraId="4A99B28C" w14:textId="77777777" w:rsidR="00FC4F32" w:rsidRPr="00FC4F32" w:rsidRDefault="00FC4F32" w:rsidP="00FC4F32">
      <w:pPr>
        <w:rPr>
          <w:lang w:val="de-DE"/>
        </w:rPr>
      </w:pPr>
    </w:p>
    <w:p w14:paraId="2F57684A" w14:textId="131C9556" w:rsidR="00614F38" w:rsidRPr="00FC4F32" w:rsidRDefault="00000000">
      <w:pPr>
        <w:pStyle w:val="Heading1"/>
        <w:rPr>
          <w:lang w:val="de-DE"/>
        </w:rPr>
      </w:pPr>
      <w:r w:rsidRPr="00FC4F32">
        <w:rPr>
          <w:rFonts w:ascii="Arial" w:hAnsi="Arial" w:cs="Arial"/>
          <w:lang w:val="de-DE"/>
        </w:rPr>
        <w:lastRenderedPageBreak/>
        <w:t>4. Bei Gelb oder Rot: was tun?</w:t>
      </w:r>
      <w:bookmarkEnd w:id="4"/>
    </w:p>
    <w:tbl>
      <w:tblPr>
        <w:tblStyle w:val="TableGrid"/>
        <w:tblW w:w="0" w:type="auto"/>
        <w:jc w:val="center"/>
        <w:tblBorders>
          <w:top w:val="single" w:sz="4" w:space="0" w:color="E5E5E5"/>
          <w:left w:val="single" w:sz="4" w:space="0" w:color="E5E5E5"/>
          <w:bottom w:val="single" w:sz="4" w:space="0" w:color="E5E5E5"/>
          <w:right w:val="single" w:sz="4" w:space="0" w:color="E5E5E5"/>
          <w:insideH w:val="single" w:sz="4" w:space="0" w:color="E5E5E5"/>
          <w:insideV w:val="single" w:sz="4" w:space="0" w:color="E5E5E5"/>
        </w:tblBorders>
        <w:tblLook w:val="04A0" w:firstRow="1" w:lastRow="0" w:firstColumn="1" w:lastColumn="0" w:noHBand="0" w:noVBand="1"/>
      </w:tblPr>
      <w:tblGrid>
        <w:gridCol w:w="4590"/>
        <w:gridCol w:w="5102"/>
      </w:tblGrid>
      <w:tr w:rsidR="00614F38" w14:paraId="2AB90F3F" w14:textId="77777777" w:rsidTr="00FC4F32">
        <w:trPr>
          <w:jc w:val="center"/>
        </w:trPr>
        <w:tc>
          <w:tcPr>
            <w:tcW w:w="4590" w:type="dxa"/>
            <w:shd w:val="clear" w:color="auto" w:fill="3333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48AAEF" w14:textId="77777777" w:rsidR="00614F38" w:rsidRDefault="00000000">
            <w:r>
              <w:rPr>
                <w:rFonts w:cs="Arial"/>
                <w:b/>
                <w:color w:val="FFFFFF"/>
                <w:sz w:val="19"/>
              </w:rPr>
              <w:t>Situation</w:t>
            </w:r>
          </w:p>
        </w:tc>
        <w:tc>
          <w:tcPr>
            <w:tcW w:w="5102" w:type="dxa"/>
            <w:shd w:val="clear" w:color="auto" w:fill="3333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27AAD" w14:textId="77777777" w:rsidR="00614F38" w:rsidRDefault="00000000">
            <w:r>
              <w:rPr>
                <w:rFonts w:cs="Arial"/>
                <w:b/>
                <w:color w:val="FFFFFF"/>
                <w:sz w:val="19"/>
              </w:rPr>
              <w:t>Sofortmaßnahme</w:t>
            </w:r>
          </w:p>
        </w:tc>
      </w:tr>
      <w:tr w:rsidR="00614F38" w:rsidRPr="00FC4F32" w14:paraId="4094BD7D" w14:textId="77777777" w:rsidTr="00FC4F32">
        <w:trPr>
          <w:jc w:val="center"/>
        </w:trPr>
        <w:tc>
          <w:tcPr>
            <w:tcW w:w="459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AB9E8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b/>
                <w:sz w:val="20"/>
                <w:lang w:val="de-DE"/>
              </w:rPr>
              <w:t>Eine Woche wird gelb (Reserve angebrochen)</w:t>
            </w:r>
          </w:p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AC0D7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sz w:val="20"/>
                <w:lang w:val="de-DE"/>
              </w:rPr>
              <w:t>Beobachten; Zahlungseingänge beschleunigen, kleinere Ausgaben verschieben</w:t>
            </w:r>
          </w:p>
        </w:tc>
      </w:tr>
      <w:tr w:rsidR="00614F38" w:rsidRPr="00FC4F32" w14:paraId="3B2EDDF9" w14:textId="77777777" w:rsidTr="00FC4F32">
        <w:trPr>
          <w:jc w:val="center"/>
        </w:trPr>
        <w:tc>
          <w:tcPr>
            <w:tcW w:w="459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3645E5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b/>
                <w:sz w:val="20"/>
                <w:lang w:val="de-DE"/>
              </w:rPr>
              <w:t>Eine Woche wird rot (unter Warnschwelle)</w:t>
            </w:r>
          </w:p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421BB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sz w:val="20"/>
                <w:lang w:val="de-DE"/>
              </w:rPr>
              <w:t>Jetzt handeln: Anzahlung/Teilrechnung anfordern, Zahlungsziel beim Lieferanten verlängern</w:t>
            </w:r>
          </w:p>
        </w:tc>
      </w:tr>
      <w:tr w:rsidR="00614F38" w:rsidRPr="00FC4F32" w14:paraId="0E893EB7" w14:textId="77777777" w:rsidTr="00FC4F32">
        <w:trPr>
          <w:jc w:val="center"/>
        </w:trPr>
        <w:tc>
          <w:tcPr>
            <w:tcW w:w="459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66789" w14:textId="77777777" w:rsidR="00614F38" w:rsidRDefault="00000000">
            <w:proofErr w:type="spellStart"/>
            <w:r>
              <w:rPr>
                <w:rFonts w:cs="Arial"/>
                <w:b/>
                <w:sz w:val="20"/>
              </w:rPr>
              <w:t>Mehrere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proofErr w:type="spellStart"/>
            <w:r>
              <w:rPr>
                <w:rFonts w:cs="Arial"/>
                <w:b/>
                <w:sz w:val="20"/>
              </w:rPr>
              <w:t>Wochen</w:t>
            </w:r>
            <w:proofErr w:type="spellEnd"/>
            <w:r>
              <w:rPr>
                <w:rFonts w:cs="Arial"/>
                <w:b/>
                <w:sz w:val="20"/>
              </w:rPr>
              <w:t xml:space="preserve"> rot</w:t>
            </w:r>
          </w:p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BEB095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sz w:val="20"/>
                <w:lang w:val="de-DE"/>
              </w:rPr>
              <w:t>Kreditlinie mit der Bank besprechen, frühzeitig, mit dem Plan als Beleg</w:t>
            </w:r>
          </w:p>
        </w:tc>
      </w:tr>
      <w:tr w:rsidR="00614F38" w:rsidRPr="00FC4F32" w14:paraId="32F17A0E" w14:textId="77777777" w:rsidTr="00FC4F32">
        <w:trPr>
          <w:jc w:val="center"/>
        </w:trPr>
        <w:tc>
          <w:tcPr>
            <w:tcW w:w="459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37AC40" w14:textId="77777777" w:rsidR="00614F38" w:rsidRDefault="00000000">
            <w:proofErr w:type="spellStart"/>
            <w:r>
              <w:rPr>
                <w:rFonts w:cs="Arial"/>
                <w:b/>
                <w:sz w:val="20"/>
              </w:rPr>
              <w:t>Tiefpunkt</w:t>
            </w:r>
            <w:proofErr w:type="spellEnd"/>
            <w:r>
              <w:rPr>
                <w:rFonts w:cs="Arial"/>
                <w:b/>
                <w:sz w:val="20"/>
              </w:rPr>
              <w:t xml:space="preserve"> erst </w:t>
            </w:r>
            <w:proofErr w:type="spellStart"/>
            <w:r>
              <w:rPr>
                <w:rFonts w:cs="Arial"/>
                <w:b/>
                <w:sz w:val="20"/>
              </w:rPr>
              <w:t>spät</w:t>
            </w:r>
            <w:proofErr w:type="spellEnd"/>
          </w:p>
        </w:tc>
        <w:tc>
          <w:tcPr>
            <w:tcW w:w="5102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7EECF" w14:textId="77777777" w:rsidR="00614F38" w:rsidRPr="00FC4F32" w:rsidRDefault="00000000">
            <w:pPr>
              <w:rPr>
                <w:lang w:val="de-DE"/>
              </w:rPr>
            </w:pPr>
            <w:r w:rsidRPr="00FC4F32">
              <w:rPr>
                <w:rFonts w:cs="Arial"/>
                <w:sz w:val="20"/>
                <w:lang w:val="de-DE"/>
              </w:rPr>
              <w:t>Großauftrag-Vorfinanzierung prüfen; Anzahlung vertraglich vereinbaren</w:t>
            </w:r>
          </w:p>
        </w:tc>
      </w:tr>
    </w:tbl>
    <w:p w14:paraId="74E4327D" w14:textId="77777777" w:rsidR="00614F38" w:rsidRPr="00FC4F32" w:rsidRDefault="00614F38">
      <w:pPr>
        <w:spacing w:after="120"/>
        <w:rPr>
          <w:lang w:val="de-DE"/>
        </w:rPr>
      </w:pPr>
    </w:p>
    <w:p w14:paraId="7171E995" w14:textId="77777777" w:rsidR="00614F38" w:rsidRDefault="00000000">
      <w:pPr>
        <w:pStyle w:val="Heading1"/>
      </w:pPr>
      <w:bookmarkStart w:id="5" w:name="_Toc231740005"/>
      <w:r>
        <w:rPr>
          <w:rFonts w:ascii="Arial" w:hAnsi="Arial" w:cs="Arial"/>
        </w:rPr>
        <w:t>5. Checkliste für die ersten 30 Tage</w:t>
      </w:r>
      <w:bookmarkEnd w:id="5"/>
    </w:p>
    <w:p w14:paraId="3A1AE2DA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Kontoauszug der letzten 2 bis 3 Monate als CSV exportiert und eingelesen.</w:t>
      </w:r>
    </w:p>
    <w:p w14:paraId="347DAA6D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Startsaldo und Durchschnittswerte übernommen und auf Kategorien verteilt.</w:t>
      </w:r>
    </w:p>
    <w:p w14:paraId="53FFDA48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Alle bekannten Sonderereignisse der nächsten 13 Wochen eingetragen.</w:t>
      </w:r>
    </w:p>
    <w:p w14:paraId="1965EF53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Warnschwelle (Kreditlinie) und Reserve gesetzt.</w:t>
      </w:r>
    </w:p>
    <w:p w14:paraId="769AFD98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Worst-Case-Szenario einmal durchgespielt.</w:t>
      </w:r>
    </w:p>
    <w:p w14:paraId="32FFA422" w14:textId="77777777" w:rsidR="00614F38" w:rsidRPr="00FC4F32" w:rsidRDefault="00000000">
      <w:pPr>
        <w:pStyle w:val="ListBullet"/>
        <w:spacing w:after="60"/>
        <w:rPr>
          <w:lang w:val="de-DE"/>
        </w:rPr>
      </w:pPr>
      <w:r w:rsidRPr="00FC4F32">
        <w:rPr>
          <w:rFonts w:cs="Arial"/>
          <w:b/>
          <w:color w:val="0A0A0A"/>
          <w:lang w:val="de-DE"/>
        </w:rPr>
        <w:t xml:space="preserve">☐ </w:t>
      </w:r>
      <w:r w:rsidRPr="00FC4F32">
        <w:rPr>
          <w:rFonts w:cs="Arial"/>
          <w:lang w:val="de-DE"/>
        </w:rPr>
        <w:t>Festen wöchentlichen Termin (10 Minuten) für die Pflege eingerichtet.</w:t>
      </w:r>
    </w:p>
    <w:p w14:paraId="14488632" w14:textId="77777777" w:rsidR="00614F38" w:rsidRPr="00FC4F32" w:rsidRDefault="00614F38">
      <w:pPr>
        <w:pBdr>
          <w:bottom w:val="single" w:sz="24" w:space="1" w:color="FBCE3C"/>
        </w:pBdr>
        <w:spacing w:after="80"/>
        <w:rPr>
          <w:lang w:val="de-DE"/>
        </w:rPr>
      </w:pPr>
    </w:p>
    <w:p w14:paraId="3D50D779" w14:textId="77777777" w:rsidR="00614F38" w:rsidRDefault="00000000">
      <w:pPr>
        <w:spacing w:after="0"/>
      </w:pPr>
      <w:r w:rsidRPr="00FC4F32">
        <w:rPr>
          <w:rFonts w:cs="Arial"/>
          <w:i/>
          <w:color w:val="888888"/>
          <w:sz w:val="16"/>
          <w:lang w:val="de-DE"/>
        </w:rPr>
        <w:t xml:space="preserve">Betriebswirtschaftliche Orientierungshilfe. Keine Rechts- oder Steuerberatung. </w:t>
      </w:r>
      <w:r>
        <w:rPr>
          <w:rFonts w:cs="Arial"/>
          <w:i/>
          <w:color w:val="888888"/>
          <w:sz w:val="16"/>
        </w:rPr>
        <w:t xml:space="preserve">© </w:t>
      </w:r>
      <w:proofErr w:type="spellStart"/>
      <w:r>
        <w:rPr>
          <w:rFonts w:cs="Arial"/>
          <w:i/>
          <w:color w:val="888888"/>
          <w:sz w:val="16"/>
        </w:rPr>
        <w:t>Vorsprung</w:t>
      </w:r>
      <w:proofErr w:type="spellEnd"/>
      <w:r>
        <w:rPr>
          <w:rFonts w:cs="Arial"/>
          <w:i/>
          <w:color w:val="888888"/>
          <w:sz w:val="16"/>
        </w:rPr>
        <w:t xml:space="preserve"> Handwerk GmbH, Nürtingen.</w:t>
      </w:r>
    </w:p>
    <w:sectPr w:rsidR="00614F38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DB12C" w14:textId="77777777" w:rsidR="002D64FB" w:rsidRDefault="002D64FB">
      <w:pPr>
        <w:spacing w:after="0" w:line="240" w:lineRule="auto"/>
      </w:pPr>
      <w:r>
        <w:separator/>
      </w:r>
    </w:p>
  </w:endnote>
  <w:endnote w:type="continuationSeparator" w:id="0">
    <w:p w14:paraId="6BC25C58" w14:textId="77777777" w:rsidR="002D64FB" w:rsidRDefault="002D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CB83" w14:textId="77777777" w:rsidR="00614F38" w:rsidRPr="00FC4F32" w:rsidRDefault="00000000">
    <w:pPr>
      <w:pStyle w:val="Footer"/>
      <w:rPr>
        <w:lang w:val="de-DE"/>
      </w:rPr>
    </w:pPr>
    <w:r w:rsidRPr="00FC4F32">
      <w:rPr>
        <w:rFonts w:cs="Arial"/>
        <w:color w:val="888888"/>
        <w:sz w:val="16"/>
        <w:lang w:val="de-DE"/>
      </w:rPr>
      <w:t xml:space="preserve">HandwerkStars · Vorsprung Handwerk GmbH · handwerkstars.de   |   Werkzeug 4 · Praxis-Leitfaden   |   Seite </w:t>
    </w:r>
    <w:r>
      <w:rPr>
        <w:color w:val="888888"/>
        <w:sz w:val="16"/>
      </w:rPr>
      <w:fldChar w:fldCharType="begin"/>
    </w:r>
    <w:r w:rsidRPr="00FC4F32">
      <w:rPr>
        <w:color w:val="888888"/>
        <w:sz w:val="16"/>
        <w:lang w:val="de-DE"/>
      </w:rPr>
      <w:instrText>PAGE</w:instrText>
    </w:r>
    <w:r w:rsidR="00FC4F32">
      <w:rPr>
        <w:color w:val="888888"/>
        <w:sz w:val="16"/>
      </w:rPr>
      <w:fldChar w:fldCharType="separate"/>
    </w:r>
    <w:r w:rsidR="00FC4F32" w:rsidRPr="00FC4F32">
      <w:rPr>
        <w:noProof/>
        <w:color w:val="888888"/>
        <w:sz w:val="16"/>
        <w:lang w:val="de-DE"/>
      </w:rPr>
      <w:t>1</w:t>
    </w:r>
    <w:r>
      <w:rPr>
        <w:color w:val="88888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ED60" w14:textId="77777777" w:rsidR="002D64FB" w:rsidRDefault="002D64FB">
      <w:pPr>
        <w:spacing w:after="0" w:line="240" w:lineRule="auto"/>
      </w:pPr>
      <w:r>
        <w:separator/>
      </w:r>
    </w:p>
  </w:footnote>
  <w:footnote w:type="continuationSeparator" w:id="0">
    <w:p w14:paraId="3BC268B9" w14:textId="77777777" w:rsidR="002D64FB" w:rsidRDefault="002D6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4511781">
    <w:abstractNumId w:val="8"/>
  </w:num>
  <w:num w:numId="2" w16cid:durableId="232084402">
    <w:abstractNumId w:val="6"/>
  </w:num>
  <w:num w:numId="3" w16cid:durableId="1482648418">
    <w:abstractNumId w:val="5"/>
  </w:num>
  <w:num w:numId="4" w16cid:durableId="1268076616">
    <w:abstractNumId w:val="4"/>
  </w:num>
  <w:num w:numId="5" w16cid:durableId="663583027">
    <w:abstractNumId w:val="7"/>
  </w:num>
  <w:num w:numId="6" w16cid:durableId="1890845064">
    <w:abstractNumId w:val="3"/>
  </w:num>
  <w:num w:numId="7" w16cid:durableId="1622880922">
    <w:abstractNumId w:val="2"/>
  </w:num>
  <w:num w:numId="8" w16cid:durableId="1362129760">
    <w:abstractNumId w:val="1"/>
  </w:num>
  <w:num w:numId="9" w16cid:durableId="1204635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40BB"/>
    <w:rsid w:val="002D64FB"/>
    <w:rsid w:val="00326F90"/>
    <w:rsid w:val="00614F38"/>
    <w:rsid w:val="00AA1D8D"/>
    <w:rsid w:val="00B47730"/>
    <w:rsid w:val="00CB0664"/>
    <w:rsid w:val="00FC4F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E78B344"/>
  <w14:defaultImageDpi w14:val="300"/>
  <w15:docId w15:val="{B4C6F4A1-ECBE-6C48-BA4D-3A10876C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b/>
      <w:bCs/>
      <w:color w:val="0A0A0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/>
      <w:b/>
      <w:bCs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  <w:color w:val="0A0A0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FC4F3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FC4F3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FC4F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 Liquiditätsplan in 20 Minuten aufsetzen, Praxis-Leitfaden</dc:title>
  <dc:subject/>
  <dc:creator>Jerome Fischer</dc:creator>
  <cp:keywords/>
  <dc:description>generated by python-docx</dc:description>
  <cp:lastModifiedBy>Jerome Fischer</cp:lastModifiedBy>
  <cp:revision>2</cp:revision>
  <dcterms:created xsi:type="dcterms:W3CDTF">2013-12-23T23:15:00Z</dcterms:created>
  <dcterms:modified xsi:type="dcterms:W3CDTF">2026-06-07T13:54:00Z</dcterms:modified>
  <cp:category/>
  <dc:language>de-DE</dc:language>
</cp:coreProperties>
</file>