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354"/>
      </w:tblGrid>
      <w:tr>
        <w:tc>
          <w:tcPr>
            <w:tcW w:type="dxa" w:w="9746"/>
            <w:shd w:val="clear" w:fill="0A0A0A"/>
            <w:tcMar>
              <w:top w:w="420" w:type="dxa"/>
              <w:bottom w:w="420" w:type="dxa"/>
              <w:start w:w="360" w:type="dxa"/>
              <w:end w:w="360" w:type="dxa"/>
            </w:tcMar>
          </w:tcPr>
          <w:p>
            <w:pPr>
              <w:spacing w:after="200"/>
            </w:pPr>
            <w:r>
              <w:rPr>
                <w:b/>
                <w:i w:val="0"/>
                <w:color w:val="FBCE3C"/>
                <w:sz w:val="26"/>
                <w:rFonts w:ascii="Arial" w:hAnsi="Arial" w:cs="Arial"/>
              </w:rPr>
              <w:t xml:space="preserve">★ </w:t>
            </w:r>
            <w:r>
              <w:rPr>
                <w:b/>
                <w:i w:val="0"/>
                <w:color w:val="FFFFFF"/>
                <w:sz w:val="26"/>
                <w:rFonts w:ascii="Arial" w:hAnsi="Arial" w:cs="Arial"/>
              </w:rPr>
              <w:t>HANDWERK</w:t>
            </w:r>
            <w:r>
              <w:rPr>
                <w:b/>
                <w:i w:val="0"/>
                <w:color w:val="FBCE3C"/>
                <w:sz w:val="26"/>
                <w:rFonts w:ascii="Arial" w:hAnsi="Arial" w:cs="Arial"/>
              </w:rPr>
              <w:t>STARS</w:t>
            </w:r>
          </w:p>
          <w:p>
            <w:pPr>
              <w:spacing w:after="240"/>
            </w:pPr>
            <w:r>
              <w:rPr>
                <w:b/>
                <w:i w:val="0"/>
                <w:color w:val="FBCE3C"/>
                <w:sz w:val="18"/>
                <w:rFonts w:ascii="Arial" w:hAnsi="Arial" w:cs="Arial"/>
              </w:rPr>
              <w:t>TOP-HANDWERKER ERFOLGSKIT · WERKZEUG 1 VON 7</w:t>
            </w:r>
          </w:p>
          <w:p>
            <w:pPr>
              <w:spacing w:after="160"/>
            </w:pPr>
            <w:r>
              <w:rPr>
                <w:b/>
                <w:i w:val="0"/>
                <w:color w:val="FFFFFF"/>
                <w:sz w:val="48"/>
                <w:rFonts w:ascii="Arial" w:hAnsi="Arial" w:cs="Arial"/>
              </w:rPr>
              <w:t>Gesprächs-Bausteine für die Preisverhandlung</w:t>
            </w:r>
          </w:p>
          <w:p>
            <w:pPr>
              <w:spacing w:after="320"/>
            </w:pPr>
            <w:r>
              <w:rPr>
                <w:b w:val="0"/>
                <w:i w:val="0"/>
                <w:color w:val="DDDDDD"/>
                <w:sz w:val="24"/>
                <w:rFonts w:ascii="Arial" w:hAnsi="Arial" w:cs="Arial"/>
              </w:rPr>
              <w:t>Den Festpreis selbstbewusst vertreten und Einwände sicher behandeln</w:t>
            </w:r>
          </w:p>
          <w:p>
            <w:pPr>
              <w:spacing w:after="0"/>
            </w:pPr>
            <w:r>
              <w:rPr>
                <w:b/>
                <w:i w:val="0"/>
                <w:color w:val="FBCE3C"/>
                <w:sz w:val="20"/>
                <w:rFonts w:ascii="Arial" w:hAnsi="Arial" w:cs="Arial"/>
              </w:rPr>
              <w:t>Eine Klasse für sich.</w:t>
            </w:r>
          </w:p>
        </w:tc>
      </w:tr>
    </w:tbl>
    <w:p>
      <w:pPr>
        <w:spacing w:after="200"/>
      </w:pPr>
    </w:p>
    <w:p>
      <w:pPr>
        <w:pStyle w:val="Heading2"/>
      </w:pPr>
      <w:r>
        <w:rPr>
          <w:b/>
          <w:i w:val="0"/>
          <w:color w:val="0A0A0A"/>
          <w:sz w:val="26"/>
          <w:rFonts w:ascii="Arial" w:hAnsi="Arial" w:cs="Arial"/>
        </w:rPr>
        <w:t>Inhalt</w:t>
      </w:r>
    </w:p>
    <w:p>
      <w:r>
        <w:fldChar w:fldCharType="begin"/>
      </w:r>
      <w:r>
        <w:instrText xml:space="preserve">TOC \o "1-2" \h \z \u</w:instrText>
      </w:r>
      <w:r>
        <w:fldChar w:fldCharType="separate"/>
      </w:r>
      <w:r>
        <w:rPr>
          <w:rFonts w:ascii="Arial" w:hAnsi="Arial"/>
          <w:color w:val="888888"/>
          <w:sz w:val="18"/>
        </w:rPr>
        <w:t>Inhaltsverzeichnis in Word mit F9 aktualisieren.</w:t>
      </w:r>
      <w:r>
        <w:fldChar w:fldCharType="end"/>
      </w:r>
    </w:p>
    <w:p>
      <w:r>
        <w:br w:type="page"/>
      </w:r>
    </w:p>
    <w:p>
      <w:pPr>
        <w:pStyle w:val="Heading1"/>
      </w:pPr>
      <w:r>
        <w:rPr>
          <w:b/>
          <w:i w:val="0"/>
          <w:color w:val="0A0A0A"/>
          <w:sz w:val="32"/>
          <w:rFonts w:ascii="Arial" w:hAnsi="Arial" w:cs="Arial"/>
        </w:rPr>
        <w:t>1. Die richtige Haltung</w:t>
      </w:r>
    </w:p>
    <w:p>
      <w:pPr>
        <w:spacing w:after="120" w:before="0" w:line="276" w:lineRule="auto"/>
      </w:pPr>
      <w:r>
        <w:rPr>
          <w:b w:val="0"/>
          <w:i w:val="0"/>
          <w:color w:val="333333"/>
          <w:sz w:val="22"/>
          <w:rFonts w:ascii="Arial" w:hAnsi="Arial" w:cs="Arial"/>
        </w:rPr>
        <w:t>Ein guter Preis braucht eine ruhige Haltung. Wer seinen Preis selbst nicht für gerechtfertigt hält, überträgt diese Unsicherheit auf den Kunden. Drei Grundsätze:</w:t>
      </w:r>
    </w:p>
    <w:p>
      <w:pPr>
        <w:pStyle w:val="ListBullet"/>
        <w:spacing w:after="60"/>
      </w:pPr>
      <w:r>
        <w:rPr>
          <w:b/>
          <w:i w:val="0"/>
          <w:color w:val="0A0A0A"/>
          <w:sz w:val="22"/>
          <w:rFonts w:ascii="Arial" w:hAnsi="Arial" w:cs="Arial"/>
        </w:rPr>
        <w:t xml:space="preserve">Stehen Sie zum Preis. </w:t>
      </w:r>
      <w:r>
        <w:rPr>
          <w:b w:val="0"/>
          <w:i w:val="0"/>
          <w:color w:val="333333"/>
          <w:sz w:val="22"/>
          <w:rFonts w:ascii="Arial" w:hAnsi="Arial" w:cs="Arial"/>
        </w:rPr>
        <w:t>Ihr Preis ist fair kalkuliert, also vertreten Sie ihn ruhig und ohne Rechtfertigung.</w:t>
      </w:r>
    </w:p>
    <w:p>
      <w:pPr>
        <w:pStyle w:val="ListBullet"/>
        <w:spacing w:after="60"/>
      </w:pPr>
      <w:r>
        <w:rPr>
          <w:b/>
          <w:i w:val="0"/>
          <w:color w:val="0A0A0A"/>
          <w:sz w:val="22"/>
          <w:rFonts w:ascii="Arial" w:hAnsi="Arial" w:cs="Arial"/>
        </w:rPr>
        <w:t xml:space="preserve">Sie dürfen auch verlieren. </w:t>
      </w:r>
      <w:r>
        <w:rPr>
          <w:b w:val="0"/>
          <w:i w:val="0"/>
          <w:color w:val="333333"/>
          <w:sz w:val="22"/>
          <w:rFonts w:ascii="Arial" w:hAnsi="Arial" w:cs="Arial"/>
        </w:rPr>
        <w:t>Nicht jeder Kunde passt zu Ihrem Anspruch. Ein Nein am richtigen Kunden schützt Ihre Marge.</w:t>
      </w:r>
    </w:p>
    <w:p>
      <w:pPr>
        <w:pStyle w:val="ListBullet"/>
        <w:spacing w:after="60"/>
      </w:pPr>
      <w:r>
        <w:rPr>
          <w:b/>
          <w:i w:val="0"/>
          <w:color w:val="0A0A0A"/>
          <w:sz w:val="22"/>
          <w:rFonts w:ascii="Arial" w:hAnsi="Arial" w:cs="Arial"/>
        </w:rPr>
        <w:t xml:space="preserve">Bleiben Sie beim Wert. </w:t>
      </w:r>
      <w:r>
        <w:rPr>
          <w:b w:val="0"/>
          <w:i w:val="0"/>
          <w:color w:val="333333"/>
          <w:sz w:val="22"/>
          <w:rFonts w:ascii="Arial" w:hAnsi="Arial" w:cs="Arial"/>
        </w:rPr>
        <w:t>Reden Sie über Ergebnis, Sicherheit und Garantie, nie zuerst über Stunden.</w:t>
      </w:r>
    </w:p>
    <w:p>
      <w:pPr>
        <w:pStyle w:val="Heading1"/>
      </w:pPr>
      <w:r>
        <w:rPr>
          <w:b/>
          <w:i w:val="0"/>
          <w:color w:val="0A0A0A"/>
          <w:sz w:val="32"/>
          <w:rFonts w:ascii="Arial" w:hAnsi="Arial" w:cs="Arial"/>
        </w:rPr>
        <w:t>2. So präsentieren Sie Ihren Festpreis</w:t>
      </w:r>
    </w:p>
    <w:p>
      <w:pPr>
        <w:spacing w:after="120" w:before="0" w:line="276" w:lineRule="auto"/>
      </w:pPr>
      <w:r>
        <w:rPr>
          <w:b w:val="0"/>
          <w:i w:val="0"/>
          <w:color w:val="333333"/>
          <w:sz w:val="22"/>
          <w:rFonts w:ascii="Arial" w:hAnsi="Arial" w:cs="Arial"/>
        </w:rPr>
        <w:t>Ein bewährter Ablauf in vier Schritten, er führt vom Bedarf zum Festpreis, ohne dass der Stundensatz je zum Thema wird:</w:t>
      </w:r>
    </w:p>
    <w:p>
      <w:pPr>
        <w:spacing w:after="80" w:before="0" w:line="276" w:lineRule="auto"/>
      </w:pPr>
      <w:r>
        <w:rPr>
          <w:b/>
          <w:i w:val="0"/>
          <w:color w:val="0A0A0A"/>
          <w:sz w:val="22"/>
          <w:rFonts w:ascii="Arial" w:hAnsi="Arial" w:cs="Arial"/>
        </w:rPr>
        <w:t xml:space="preserve">Schritt 1: </w:t>
      </w:r>
      <w:r>
        <w:rPr>
          <w:b/>
          <w:i w:val="0"/>
          <w:color w:val="0A0A0A"/>
          <w:sz w:val="22"/>
          <w:rFonts w:ascii="Arial" w:hAnsi="Arial" w:cs="Arial"/>
        </w:rPr>
        <w:t>Bedarf spiegeln</w:t>
      </w:r>
    </w:p>
    <w:p>
      <w:pPr>
        <w:spacing w:after="160" w:before="0" w:line="276" w:lineRule="auto"/>
      </w:pPr>
      <w:r>
        <w:rPr>
          <w:b w:val="0"/>
          <w:i w:val="0"/>
          <w:color w:val="333333"/>
          <w:sz w:val="22"/>
          <w:rFonts w:ascii="Arial" w:hAnsi="Arial" w:cs="Arial"/>
        </w:rPr>
        <w:t>Fassen Sie zusammen, was der Kunde wirklich braucht: „Wenn ich Sie richtig verstehe, ist Ihnen wichtig, dass …“</w:t>
      </w:r>
    </w:p>
    <w:p>
      <w:pPr>
        <w:spacing w:after="80" w:before="0" w:line="276" w:lineRule="auto"/>
      </w:pPr>
      <w:r>
        <w:rPr>
          <w:b/>
          <w:i w:val="0"/>
          <w:color w:val="0A0A0A"/>
          <w:sz w:val="22"/>
          <w:rFonts w:ascii="Arial" w:hAnsi="Arial" w:cs="Arial"/>
        </w:rPr>
        <w:t xml:space="preserve">Schritt 2: </w:t>
      </w:r>
      <w:r>
        <w:rPr>
          <w:b/>
          <w:i w:val="0"/>
          <w:color w:val="0A0A0A"/>
          <w:sz w:val="22"/>
          <w:rFonts w:ascii="Arial" w:hAnsi="Arial" w:cs="Arial"/>
        </w:rPr>
        <w:t>Lösung und Ergebnis beschreiben</w:t>
      </w:r>
    </w:p>
    <w:p>
      <w:pPr>
        <w:spacing w:after="160" w:before="0" w:line="276" w:lineRule="auto"/>
      </w:pPr>
      <w:r>
        <w:rPr>
          <w:b w:val="0"/>
          <w:i w:val="0"/>
          <w:color w:val="333333"/>
          <w:sz w:val="22"/>
          <w:rFonts w:ascii="Arial" w:hAnsi="Arial" w:cs="Arial"/>
        </w:rPr>
        <w:t>Erklären Sie, was er bekommt, als Ergebnis, nicht als Tätigkeit: „Sie bekommen eine Heizung, die zuverlässig läuft, und müssen sich um nichts kümmern.“</w:t>
      </w:r>
    </w:p>
    <w:p>
      <w:pPr>
        <w:spacing w:after="80" w:before="0" w:line="276" w:lineRule="auto"/>
      </w:pPr>
      <w:r>
        <w:rPr>
          <w:b/>
          <w:i w:val="0"/>
          <w:color w:val="0A0A0A"/>
          <w:sz w:val="22"/>
          <w:rFonts w:ascii="Arial" w:hAnsi="Arial" w:cs="Arial"/>
        </w:rPr>
        <w:t xml:space="preserve">Schritt 3: </w:t>
      </w:r>
      <w:r>
        <w:rPr>
          <w:b/>
          <w:i w:val="0"/>
          <w:color w:val="0A0A0A"/>
          <w:sz w:val="22"/>
          <w:rFonts w:ascii="Arial" w:hAnsi="Arial" w:cs="Arial"/>
        </w:rPr>
        <w:t>Paket und Festpreis nennen</w:t>
      </w:r>
    </w:p>
    <w:p>
      <w:pPr>
        <w:spacing w:after="160" w:before="0" w:line="276" w:lineRule="auto"/>
      </w:pPr>
      <w:r>
        <w:rPr>
          <w:b w:val="0"/>
          <w:i w:val="0"/>
          <w:color w:val="333333"/>
          <w:sz w:val="22"/>
          <w:rFonts w:ascii="Arial" w:hAnsi="Arial" w:cs="Arial"/>
        </w:rPr>
        <w:t>Benennen Sie das Paket und nennen Sie den Festpreis in einem Satz, ruhig und ohne Zögern.</w:t>
      </w:r>
    </w:p>
    <w:p>
      <w:pPr>
        <w:spacing w:after="80" w:before="0" w:line="276" w:lineRule="auto"/>
      </w:pPr>
      <w:r>
        <w:rPr>
          <w:b/>
          <w:i w:val="0"/>
          <w:color w:val="0A0A0A"/>
          <w:sz w:val="22"/>
          <w:rFonts w:ascii="Arial" w:hAnsi="Arial" w:cs="Arial"/>
        </w:rPr>
        <w:t xml:space="preserve">Schritt 4: </w:t>
      </w:r>
      <w:r>
        <w:rPr>
          <w:b/>
          <w:i w:val="0"/>
          <w:color w:val="0A0A0A"/>
          <w:sz w:val="22"/>
          <w:rFonts w:ascii="Arial" w:hAnsi="Arial" w:cs="Arial"/>
        </w:rPr>
        <w:t>Sicherheit betonen</w:t>
      </w:r>
    </w:p>
    <w:p>
      <w:pPr>
        <w:spacing w:after="160" w:before="0" w:line="276" w:lineRule="auto"/>
      </w:pPr>
      <w:r>
        <w:rPr>
          <w:b w:val="0"/>
          <w:i w:val="0"/>
          <w:color w:val="333333"/>
          <w:sz w:val="22"/>
          <w:rFonts w:ascii="Arial" w:hAnsi="Arial" w:cs="Arial"/>
        </w:rPr>
        <w:t>Schließen Sie mit dem stärksten Hebel: „Alles zum Festpreis, mit fünf Jahren Garantie, Sie tragen kein Risiko.“</w:t>
      </w:r>
    </w:p>
    <w:p>
      <w:pPr>
        <w:pStyle w:val="Heading1"/>
      </w:pPr>
      <w:r>
        <w:rPr>
          <w:b/>
          <w:i w:val="0"/>
          <w:color w:val="0A0A0A"/>
          <w:sz w:val="32"/>
          <w:rFonts w:ascii="Arial" w:hAnsi="Arial" w:cs="Arial"/>
        </w:rPr>
        <w:t>3. Wert-Sprache statt Stunden-Sprache</w:t>
      </w:r>
    </w:p>
    <w:p>
      <w:pPr>
        <w:spacing w:after="120" w:before="0" w:line="276" w:lineRule="auto"/>
      </w:pPr>
      <w:r>
        <w:rPr>
          <w:b w:val="0"/>
          <w:i w:val="0"/>
          <w:color w:val="333333"/>
          <w:sz w:val="22"/>
          <w:rFonts w:ascii="Arial" w:hAnsi="Arial" w:cs="Arial"/>
        </w:rPr>
        <w:t>Kleine Umformulierungen, große Wirkung. Links die Stunden-Sprache, rechts die Wert-Sprache:</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4873"/>
        <w:gridCol w:w="4873"/>
      </w:tblGrid>
      <w:tr>
        <w:tc>
          <w:tcPr>
            <w:tcW w:type="dxa" w:w="4252"/>
            <w:shd w:val="clear" w:fill="333333"/>
            <w:tcMar>
              <w:top w:w="80" w:type="dxa"/>
              <w:bottom w:w="80" w:type="dxa"/>
              <w:start w:w="120" w:type="dxa"/>
              <w:end w:w="120" w:type="dxa"/>
            </w:tcMar>
          </w:tcPr>
          <w:p>
            <w:pPr>
              <w:spacing w:after="0"/>
            </w:pPr>
            <w:r>
              <w:rPr>
                <w:b/>
                <w:i w:val="0"/>
                <w:color w:val="FFFFFF"/>
                <w:sz w:val="19"/>
                <w:rFonts w:ascii="Arial" w:hAnsi="Arial" w:cs="Arial"/>
              </w:rPr>
              <w:t>Sagen Sie nicht …</w:t>
            </w:r>
          </w:p>
        </w:tc>
        <w:tc>
          <w:tcPr>
            <w:tcW w:type="dxa" w:w="4535"/>
            <w:shd w:val="clear" w:fill="333333"/>
            <w:tcMar>
              <w:top w:w="80" w:type="dxa"/>
              <w:bottom w:w="80" w:type="dxa"/>
              <w:start w:w="120" w:type="dxa"/>
              <w:end w:w="120" w:type="dxa"/>
            </w:tcMar>
          </w:tcPr>
          <w:p>
            <w:pPr>
              <w:spacing w:after="0"/>
            </w:pPr>
            <w:r>
              <w:rPr>
                <w:b/>
                <w:i w:val="0"/>
                <w:color w:val="FFFFFF"/>
                <w:sz w:val="19"/>
                <w:rFonts w:ascii="Arial" w:hAnsi="Arial" w:cs="Arial"/>
              </w:rPr>
              <w:t>Sagen Sie besser …</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„Das macht 1,5 Stunden mal Stundensatz.“</w:t>
            </w:r>
          </w:p>
        </w:tc>
        <w:tc>
          <w:tcPr>
            <w:tcW w:type="dxa" w:w="4535"/>
            <w:tcMar>
              <w:top w:w="80" w:type="dxa"/>
              <w:bottom w:w="80" w:type="dxa"/>
              <w:start w:w="120" w:type="dxa"/>
              <w:end w:w="120" w:type="dxa"/>
            </w:tcMar>
          </w:tcPr>
          <w:p>
            <w:pPr>
              <w:spacing w:after="0"/>
            </w:pPr>
            <w:r>
              <w:rPr>
                <w:b w:val="0"/>
                <w:i w:val="0"/>
                <w:color w:val="333333"/>
                <w:sz w:val="20"/>
                <w:rFonts w:ascii="Arial" w:hAnsi="Arial" w:cs="Arial"/>
              </w:rPr>
              <w:t>„Das ist im Festpreis enthalten, Sie zahlen das Ergebnis.“</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„Ich schicke Ihnen einen Voranschlag.“</w:t>
            </w:r>
          </w:p>
        </w:tc>
        <w:tc>
          <w:tcPr>
            <w:tcW w:type="dxa" w:w="4535"/>
            <w:tcMar>
              <w:top w:w="80" w:type="dxa"/>
              <w:bottom w:w="80" w:type="dxa"/>
              <w:start w:w="120" w:type="dxa"/>
              <w:end w:w="120" w:type="dxa"/>
            </w:tcMar>
          </w:tcPr>
          <w:p>
            <w:pPr>
              <w:spacing w:after="0"/>
            </w:pPr>
            <w:r>
              <w:rPr>
                <w:b w:val="0"/>
                <w:i w:val="0"/>
                <w:color w:val="333333"/>
                <w:sz w:val="20"/>
                <w:rFonts w:ascii="Arial" w:hAnsi="Arial" w:cs="Arial"/>
              </w:rPr>
              <w:t>„Sie bekommen einen verbindlichen Festpreis, ohne böse Überraschung.“</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„Das kostet …“</w:t>
            </w:r>
          </w:p>
        </w:tc>
        <w:tc>
          <w:tcPr>
            <w:tcW w:type="dxa" w:w="4535"/>
            <w:tcMar>
              <w:top w:w="80" w:type="dxa"/>
              <w:bottom w:w="80" w:type="dxa"/>
              <w:start w:w="120" w:type="dxa"/>
              <w:end w:w="120" w:type="dxa"/>
            </w:tcMar>
          </w:tcPr>
          <w:p>
            <w:pPr>
              <w:spacing w:after="0"/>
            </w:pPr>
            <w:r>
              <w:rPr>
                <w:b w:val="0"/>
                <w:i w:val="0"/>
                <w:color w:val="333333"/>
                <w:sz w:val="20"/>
                <w:rFonts w:ascii="Arial" w:hAnsi="Arial" w:cs="Arial"/>
              </w:rPr>
              <w:t>„Dafür erhalten Sie …, Sicherheit, Garantie, alles aus einer Hand.“</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„Wir sind leider nicht die Günstigsten.“</w:t>
            </w:r>
          </w:p>
        </w:tc>
        <w:tc>
          <w:tcPr>
            <w:tcW w:type="dxa" w:w="4535"/>
            <w:tcMar>
              <w:top w:w="80" w:type="dxa"/>
              <w:bottom w:w="80" w:type="dxa"/>
              <w:start w:w="120" w:type="dxa"/>
              <w:end w:w="120" w:type="dxa"/>
            </w:tcMar>
          </w:tcPr>
          <w:p>
            <w:pPr>
              <w:spacing w:after="0"/>
            </w:pPr>
            <w:r>
              <w:rPr>
                <w:b w:val="0"/>
                <w:i w:val="0"/>
                <w:color w:val="333333"/>
                <w:sz w:val="20"/>
                <w:rFonts w:ascii="Arial" w:hAnsi="Arial" w:cs="Arial"/>
              </w:rPr>
              <w:t>„Wir sind die sichere Wahl, und das rechnet sich für Sie.“</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„Ich könnte Ihnen entgegenkommen.“</w:t>
            </w:r>
          </w:p>
        </w:tc>
        <w:tc>
          <w:tcPr>
            <w:tcW w:type="dxa" w:w="4535"/>
            <w:tcMar>
              <w:top w:w="80" w:type="dxa"/>
              <w:bottom w:w="80" w:type="dxa"/>
              <w:start w:w="120" w:type="dxa"/>
              <w:end w:w="120" w:type="dxa"/>
            </w:tcMar>
          </w:tcPr>
          <w:p>
            <w:pPr>
              <w:spacing w:after="0"/>
            </w:pPr>
            <w:r>
              <w:rPr>
                <w:b w:val="0"/>
                <w:i w:val="0"/>
                <w:color w:val="333333"/>
                <w:sz w:val="20"/>
                <w:rFonts w:ascii="Arial" w:hAnsi="Arial" w:cs="Arial"/>
              </w:rPr>
              <w:t>„Ich kann den Umfang anpassen, der Preis folgt der Leistung.“</w:t>
            </w:r>
          </w:p>
        </w:tc>
      </w:tr>
    </w:tbl>
    <w:p>
      <w:pPr>
        <w:spacing w:after="120"/>
      </w:pPr>
    </w:p>
    <w:p>
      <w:pPr>
        <w:pStyle w:val="Heading1"/>
      </w:pPr>
      <w:r>
        <w:rPr>
          <w:b/>
          <w:i w:val="0"/>
          <w:color w:val="0A0A0A"/>
          <w:sz w:val="32"/>
          <w:rFonts w:ascii="Arial" w:hAnsi="Arial" w:cs="Arial"/>
        </w:rPr>
        <w:t>4. Die häufigsten Einwände, mit fertigen Antworten</w:t>
      </w:r>
    </w:p>
    <w:p>
      <w:pPr>
        <w:spacing w:after="120" w:before="0" w:line="276" w:lineRule="auto"/>
      </w:pPr>
      <w:r>
        <w:rPr>
          <w:b w:val="0"/>
          <w:i w:val="0"/>
          <w:color w:val="333333"/>
          <w:sz w:val="22"/>
          <w:rFonts w:ascii="Arial" w:hAnsi="Arial" w:cs="Arial"/>
        </w:rPr>
        <w:t>Zu jedem Einwand: was meist dahintersteckt und ein fertiger Antwort-Baustein, den Sie in Ihren eigenen Worten verwenden.</w:t>
      </w:r>
    </w:p>
    <w:p>
      <w:pPr>
        <w:pStyle w:val="Heading3"/>
      </w:pPr>
      <w:r>
        <w:rPr>
          <w:b/>
          <w:i w:val="0"/>
          <w:color w:val="0A0A0A"/>
          <w:sz w:val="22"/>
          <w:rFonts w:ascii="Arial" w:hAnsi="Arial" w:cs="Arial"/>
        </w:rPr>
        <w:t>„Das ist mir zu teuer.“</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Oft fehlt der Vergleichsmaßstab, nicht das Geld. Der Kunde weiß noch nicht, wofür er zahlt.</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„Das kann ich verstehen, es ist eine wichtige Entscheidung. Lassen Sie mich kurz zeigen, was alles enthalten ist und warum Sie damit auf der sicheren Seite sind. Welcher Punkt ist Ihnen am wichtigsten?“</w:t>
            </w:r>
          </w:p>
        </w:tc>
      </w:tr>
    </w:tbl>
    <w:p>
      <w:pPr>
        <w:spacing w:after="120"/>
      </w:pPr>
    </w:p>
    <w:p>
      <w:pPr>
        <w:pStyle w:val="Heading3"/>
      </w:pPr>
      <w:r>
        <w:rPr>
          <w:b/>
          <w:i w:val="0"/>
          <w:color w:val="0A0A0A"/>
          <w:sz w:val="22"/>
          <w:rFonts w:ascii="Arial" w:hAnsi="Arial" w:cs="Arial"/>
        </w:rPr>
        <w:t>„Der Nachbar / ein anderer macht das billiger.“</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Ein Preisvergleich auf Augenhöhe ist es selten, meist fehlen Leistungen, Sicherheit oder Garantie.</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„Gut möglich. Wichtig ist, dass Sie Äpfel mit Äpfeln vergleichen. Bei uns sind Festpreis, Entsorgung und fünf Jahre Garantie enthalten. Was genau umfasst das andere Angebot?“</w:t>
            </w:r>
          </w:p>
        </w:tc>
      </w:tr>
    </w:tbl>
    <w:p>
      <w:pPr>
        <w:spacing w:after="120"/>
      </w:pPr>
    </w:p>
    <w:p>
      <w:pPr>
        <w:pStyle w:val="Heading3"/>
      </w:pPr>
      <w:r>
        <w:rPr>
          <w:b/>
          <w:i w:val="0"/>
          <w:color w:val="0A0A0A"/>
          <w:sz w:val="22"/>
          <w:rFonts w:ascii="Arial" w:hAnsi="Arial" w:cs="Arial"/>
        </w:rPr>
        <w:t>„Können Sie mir nicht einfach den Stundensatz nennen?“</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Der Kunde will vergleichbar machen, was Sie bewusst als Paket anbieten.</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„Wir rechnen bewusst im Festpreis, damit Sie kein Risiko tragen, egal, wie lange wir brauchen. Sie zahlen das Ergebnis, nicht die Uhr. Das ist für Sie die sicherere Variante.“</w:t>
            </w:r>
          </w:p>
        </w:tc>
      </w:tr>
    </w:tbl>
    <w:p>
      <w:pPr>
        <w:spacing w:after="120"/>
      </w:pPr>
    </w:p>
    <w:p>
      <w:pPr>
        <w:pStyle w:val="Heading3"/>
      </w:pPr>
      <w:r>
        <w:rPr>
          <w:b/>
          <w:i w:val="0"/>
          <w:color w:val="0A0A0A"/>
          <w:sz w:val="22"/>
          <w:rFonts w:ascii="Arial" w:hAnsi="Arial" w:cs="Arial"/>
        </w:rPr>
        <w:t>„Geben Sie mir Rabatt?“</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Ein Test, ob der Preis ernst gemeint ist. Nachlassen entwertet Ihren fairen Erstpreis.</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„Mein Preis ist fair kalkuliert, deshalb ist er auch verbindlich. Was ich anbieten kann: Wir nehmen Leistung X zusätzlich auf, oder wir lassen Position Y weg, dann sinkt der Preis entsprechend. Was passt Ihnen besser?“</w:t>
            </w:r>
          </w:p>
        </w:tc>
      </w:tr>
    </w:tbl>
    <w:p>
      <w:pPr>
        <w:spacing w:after="120"/>
      </w:pPr>
    </w:p>
    <w:p>
      <w:pPr>
        <w:pStyle w:val="Heading3"/>
      </w:pPr>
      <w:r>
        <w:rPr>
          <w:b/>
          <w:i w:val="0"/>
          <w:color w:val="0A0A0A"/>
          <w:sz w:val="22"/>
          <w:rFonts w:ascii="Arial" w:hAnsi="Arial" w:cs="Arial"/>
        </w:rPr>
        <w:t>„Ich muss noch ein Vergleichsangebot einholen.“</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Unsicherheit oder Pflichtgefühl. Geben Sie eine Vergleichshilfe an die Hand.</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„Sehr vernünftig. Damit Sie gut vergleichen können: Achten Sie auf Festpreis statt circa, auf enthaltene Entsorgung und auf die Garantiedauer. Genau da sehen Sie die Unterschiede.“</w:t>
            </w:r>
          </w:p>
        </w:tc>
      </w:tr>
    </w:tbl>
    <w:p>
      <w:pPr>
        <w:spacing w:after="120"/>
      </w:pPr>
    </w:p>
    <w:p>
      <w:pPr>
        <w:pStyle w:val="Heading3"/>
      </w:pPr>
      <w:r>
        <w:rPr>
          <w:b/>
          <w:i w:val="0"/>
          <w:color w:val="0A0A0A"/>
          <w:sz w:val="22"/>
          <w:rFonts w:ascii="Arial" w:hAnsi="Arial" w:cs="Arial"/>
        </w:rPr>
        <w:t>„Warum kostet das so viel, ist doch schnell gemacht?“</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Der Wert der Erfahrung ist unsichtbar. Dass es schnell geht, ist Teil der Leistung.</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„Dass es schnell und ohne Folgeschäden geht, liegt genau an der Erfahrung. Sie zahlen dafür, dass es einmal richtig gemacht wird, und Sie sich darum nie wieder kümmern müssen.“</w:t>
            </w:r>
          </w:p>
        </w:tc>
      </w:tr>
    </w:tbl>
    <w:p>
      <w:pPr>
        <w:spacing w:after="120"/>
      </w:pPr>
    </w:p>
    <w:p>
      <w:pPr>
        <w:pStyle w:val="Heading3"/>
      </w:pPr>
      <w:r>
        <w:rPr>
          <w:b/>
          <w:i w:val="0"/>
          <w:color w:val="0A0A0A"/>
          <w:sz w:val="22"/>
          <w:rFonts w:ascii="Arial" w:hAnsi="Arial" w:cs="Arial"/>
        </w:rPr>
        <w:t>„Ich überlege es mir noch.“</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Eine offene Frage oder ein unausgesprochener Einwand blockiert die Entscheidung.</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„Natürlich, nehmen Sie sich die Zeit. Damit ich Ihnen die Entscheidung erleichtern kann: Gibt es einen Punkt, bei dem Sie noch unsicher sind, Ablauf, Termin oder Umfang?“</w:t>
            </w:r>
          </w:p>
        </w:tc>
      </w:tr>
    </w:tbl>
    <w:p>
      <w:pPr>
        <w:spacing w:after="120"/>
      </w:pPr>
    </w:p>
    <w:p>
      <w:pPr>
        <w:pStyle w:val="Heading3"/>
      </w:pPr>
      <w:r>
        <w:rPr>
          <w:b/>
          <w:i w:val="0"/>
          <w:color w:val="0A0A0A"/>
          <w:sz w:val="22"/>
          <w:rFonts w:ascii="Arial" w:hAnsi="Arial" w:cs="Arial"/>
        </w:rPr>
        <w:t>„Können wir das Material selbst besorgen?“</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Der Kunde will sparen, übernimmt aber Risiko und Sie verlieren die Gewährleistung auf das Material.</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„Das können wir machen, dann liegt die Verantwortung für Eignung und Mängel des Materials allerdings bei Ihnen, und meine Garantie bezieht sich nur auf die Montage. Mit unserem Material haben Sie alles aus einer Hand und volle Sicherheit.“</w:t>
            </w:r>
          </w:p>
        </w:tc>
      </w:tr>
    </w:tbl>
    <w:p>
      <w:pPr>
        <w:spacing w:after="120"/>
      </w:pPr>
    </w:p>
    <w:p>
      <w:pPr>
        <w:pStyle w:val="Heading3"/>
      </w:pPr>
      <w:r>
        <w:rPr>
          <w:b/>
          <w:i w:val="0"/>
          <w:color w:val="0A0A0A"/>
          <w:sz w:val="22"/>
          <w:rFonts w:ascii="Arial" w:hAnsi="Arial" w:cs="Arial"/>
        </w:rPr>
        <w:t>„Beim letzten Mal war es günstiger.“</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Preise, Material und Aufwand ändern sich. Oft war die frühere Leistung nicht identisch.</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„Das stimmt, die Bedingungen haben sich verändert, bei Material und Vorschriften ebenso. Wichtig ist, dass Sie heute eine Lösung bekommen, die dauerhaft hält. Lassen Sie uns kurz schauen, was diesmal dazugehört.“</w:t>
            </w:r>
          </w:p>
        </w:tc>
      </w:tr>
    </w:tbl>
    <w:p>
      <w:pPr>
        <w:spacing w:after="120"/>
      </w:pPr>
    </w:p>
    <w:p>
      <w:pPr>
        <w:pStyle w:val="Heading3"/>
      </w:pPr>
      <w:r>
        <w:rPr>
          <w:b/>
          <w:i w:val="0"/>
          <w:color w:val="0A0A0A"/>
          <w:sz w:val="22"/>
          <w:rFonts w:ascii="Arial" w:hAnsi="Arial" w:cs="Arial"/>
        </w:rPr>
        <w:t>„Machen Sie mir einen Freundschaftspreis.“</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Sympathie wird als Hebel genutzt. Bleiben Sie freundlich und klar.</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„Gerade weil ich Sie schätze, gebe ich Ihnen meinen ehrlichen Preis, keinen, den ich später über Abkürzungen wieder hereinholen muss. Dafür bekommen Sie Arbeit, auf die Sie sich verlassen können.“</w:t>
            </w:r>
          </w:p>
        </w:tc>
      </w:tr>
    </w:tbl>
    <w:p>
      <w:pPr>
        <w:spacing w:after="120"/>
      </w:pPr>
    </w:p>
    <w:p>
      <w:pPr>
        <w:pStyle w:val="Heading1"/>
      </w:pPr>
      <w:r>
        <w:rPr>
          <w:b/>
          <w:i w:val="0"/>
          <w:color w:val="0A0A0A"/>
          <w:sz w:val="32"/>
          <w:rFonts w:ascii="Arial" w:hAnsi="Arial" w:cs="Arial"/>
        </w:rPr>
        <w:t>5. Den Schutzvertrag andocken</w:t>
      </w:r>
    </w:p>
    <w:p>
      <w:pPr>
        <w:spacing w:after="120" w:before="0" w:line="276" w:lineRule="auto"/>
      </w:pPr>
      <w:r>
        <w:rPr>
          <w:b w:val="0"/>
          <w:i w:val="0"/>
          <w:color w:val="333333"/>
          <w:sz w:val="22"/>
          <w:rFonts w:ascii="Arial" w:hAnsi="Arial" w:cs="Arial"/>
        </w:rPr>
        <w:t>Der beste Moment für den Anschlussverkauf ist direkt nach einer gelungenen Leistung, wenn das Vertrauen am höchsten ist.</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BAUSTEIN ANSCHLUSSVERKAUF</w:t>
            </w:r>
          </w:p>
          <w:p>
            <w:pPr>
              <w:spacing w:after="0"/>
            </w:pPr>
            <w:r>
              <w:rPr>
                <w:b w:val="0"/>
                <w:i w:val="0"/>
                <w:color w:val="FFFFFF"/>
                <w:sz w:val="21"/>
                <w:rFonts w:ascii="Arial" w:hAnsi="Arial" w:cs="Arial"/>
              </w:rPr>
              <w:t>„Damit Ihre neue Anlage dauerhaft sicher und sparsam läuft, empfehle ich Ihnen unseren Schutzvertrag: einmal im Jahr Wartung, Vorrang bei Störungen, Preisgarantie auf Ersatzteile. Soll ich Ihnen das gleich mit aufnehmen?“</w:t>
            </w:r>
          </w:p>
        </w:tc>
      </w:tr>
    </w:tbl>
    <w:p>
      <w:pPr>
        <w:spacing w:after="120"/>
      </w:pPr>
    </w:p>
    <w:p>
      <w:pPr>
        <w:spacing w:after="120" w:before="0" w:line="276" w:lineRule="auto"/>
      </w:pPr>
      <w:r>
        <w:rPr>
          <w:b w:val="0"/>
          <w:i w:val="0"/>
          <w:color w:val="333333"/>
          <w:sz w:val="22"/>
          <w:rFonts w:ascii="Arial" w:hAnsi="Arial" w:cs="Arial"/>
        </w:rPr>
        <w:t>Mehr dazu in Werkzeug 3, Wartungsverträge als Umsatz-Dauerbrenner.</w:t>
      </w:r>
    </w:p>
    <w:p>
      <w:pPr>
        <w:pStyle w:val="Heading1"/>
      </w:pPr>
      <w:r>
        <w:rPr>
          <w:b/>
          <w:i w:val="0"/>
          <w:color w:val="0A0A0A"/>
          <w:sz w:val="32"/>
          <w:rFonts w:ascii="Arial" w:hAnsi="Arial" w:cs="Arial"/>
        </w:rPr>
        <w:t>6. Nach dem Gespräch sauber nachfassen</w:t>
      </w:r>
    </w:p>
    <w:p>
      <w:pPr>
        <w:pStyle w:val="ListBullet"/>
        <w:spacing w:after="60"/>
      </w:pPr>
      <w:r>
        <w:rPr>
          <w:b/>
          <w:i w:val="0"/>
          <w:color w:val="0A0A0A"/>
          <w:sz w:val="22"/>
          <w:rFonts w:ascii="Arial" w:hAnsi="Arial" w:cs="Arial"/>
        </w:rPr>
        <w:t xml:space="preserve">Schnell sein. </w:t>
      </w:r>
      <w:r>
        <w:rPr>
          <w:b w:val="0"/>
          <w:i w:val="0"/>
          <w:color w:val="333333"/>
          <w:sz w:val="22"/>
          <w:rFonts w:ascii="Arial" w:hAnsi="Arial" w:cs="Arial"/>
        </w:rPr>
        <w:t>Schicken Sie den Festpreis schriftlich, solange das Gespräch frisch ist, idealerweise am selben Tag.</w:t>
      </w:r>
    </w:p>
    <w:p>
      <w:pPr>
        <w:pStyle w:val="ListBullet"/>
        <w:spacing w:after="60"/>
      </w:pPr>
      <w:r>
        <w:rPr>
          <w:b/>
          <w:i w:val="0"/>
          <w:color w:val="0A0A0A"/>
          <w:sz w:val="22"/>
          <w:rFonts w:ascii="Arial" w:hAnsi="Arial" w:cs="Arial"/>
        </w:rPr>
        <w:t xml:space="preserve">Wert wiederholen. </w:t>
      </w:r>
      <w:r>
        <w:rPr>
          <w:b w:val="0"/>
          <w:i w:val="0"/>
          <w:color w:val="333333"/>
          <w:sz w:val="22"/>
          <w:rFonts w:ascii="Arial" w:hAnsi="Arial" w:cs="Arial"/>
        </w:rPr>
        <w:t>Wiederholen Sie im Angebot den Wert und die Sicherheit, nicht nur die Summe.</w:t>
      </w:r>
    </w:p>
    <w:p>
      <w:pPr>
        <w:pStyle w:val="ListBullet"/>
        <w:spacing w:after="60"/>
      </w:pPr>
      <w:r>
        <w:rPr>
          <w:b/>
          <w:i w:val="0"/>
          <w:color w:val="0A0A0A"/>
          <w:sz w:val="22"/>
          <w:rFonts w:ascii="Arial" w:hAnsi="Arial" w:cs="Arial"/>
        </w:rPr>
        <w:t xml:space="preserve">Termin setzen. </w:t>
      </w:r>
      <w:r>
        <w:rPr>
          <w:b w:val="0"/>
          <w:i w:val="0"/>
          <w:color w:val="333333"/>
          <w:sz w:val="22"/>
          <w:rFonts w:ascii="Arial" w:hAnsi="Arial" w:cs="Arial"/>
        </w:rPr>
        <w:t>Vereinbaren Sie einen festen Zeitpunkt fürs Nachfassen, statt auf eine Rückmeldung zu warten.</w:t>
      </w:r>
    </w:p>
    <w:p>
      <w:pPr>
        <w:spacing w:after="80" w:before="0" w:line="276" w:lineRule="auto"/>
        <w:pBdr>
          <w:bottom w:val="single" w:sz="24" w:space="1" w:color="FBCE3C"/>
        </w:pBdr>
      </w:pPr>
    </w:p>
    <w:p>
      <w:pPr>
        <w:spacing w:after="0" w:before="0" w:line="276" w:lineRule="auto"/>
      </w:pPr>
      <w:r>
        <w:rPr>
          <w:b w:val="0"/>
          <w:i/>
          <w:color w:val="888888"/>
          <w:sz w:val="16"/>
          <w:rFonts w:ascii="Arial" w:hAnsi="Arial" w:cs="Arial"/>
        </w:rPr>
        <w:t>Betriebswirtschaftliche Orientierungshilfe. Keine Rechts- oder Steuerberatung. © Vorsprung Handwerk GmbH, Nürtingen.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888888"/>
        <w:sz w:val="16"/>
        <w:rFonts w:ascii="Arial" w:hAnsi="Arial" w:cs="Arial"/>
      </w:rPr>
      <w:t xml:space="preserve">HandwerkStars · Vorsprung Handwerk GmbH · handwerkstars.de   |   Werkzeug 1 · Gesprächs-Bausteine   |   Seite </w:t>
    </w:r>
    <w:r>
      <w:rPr>
        <w:rFonts w:ascii="Arial" w:hAnsi="Arial"/>
        <w:color w:val="888888"/>
        <w:sz w:val="16"/>
      </w:rPr>
      <w:fldChar w:fldCharType="begin"/>
    </w:r>
    <w:r>
      <w:rPr>
        <w:rFonts w:ascii="Arial" w:hAnsi="Arial"/>
        <w:color w:val="888888"/>
        <w:sz w:val="16"/>
      </w:rPr>
      <w:instrText xml:space="preserve">PAGE</w:instrText>
    </w:r>
    <w:r>
      <w:rPr>
        <w:rFonts w:ascii="Arial" w:hAnsi="Arial"/>
        <w:color w:val="888888"/>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b/>
      <w:bCs/>
      <w:i w:val="0"/>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b/>
      <w:bCs/>
      <w:i w:val="0"/>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i w:val="0"/>
      <w:color w:val="0A0A0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Gesprächs-Bausteine für die Preisverhandlung</dc:title>
  <dc:subject/>
  <dc:creator>Jerome Fischer</dc:creator>
  <cp:keywords/>
  <dc:description>generated by python-docx</dc:description>
  <cp:lastModifiedBy>Jerome Fischer</cp:lastModifiedBy>
  <cp:revision>1</cp:revision>
  <dcterms:created xsi:type="dcterms:W3CDTF">2013-12-23T23:15:00Z</dcterms:created>
  <dcterms:modified xsi:type="dcterms:W3CDTF">2013-12-23T23:15:00Z</dcterms:modified>
  <cp:category/>
  <dc:language>de-DE</dc:language>
</cp:coreProperties>
</file>