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Borders>
          <w:top w:val="none"/>
          <w:left w:val="none"/>
          <w:bottom w:val="none"/>
          <w:right w:val="none"/>
          <w:insideH w:val="none"/>
          <w:insideV w:val="none"/>
        </w:tblBorders>
      </w:tblPr>
      <w:tblGrid>
        <w:gridCol w:w="9354"/>
      </w:tblGrid>
      <w:tr>
        <w:tc>
          <w:tcPr>
            <w:tcW w:type="dxa" w:w="9746"/>
            <w:shd w:val="clear" w:fill="0A0A0A"/>
            <w:tcMar>
              <w:top w:w="420" w:type="dxa"/>
              <w:bottom w:w="420" w:type="dxa"/>
              <w:start w:w="360" w:type="dxa"/>
              <w:end w:w="360" w:type="dxa"/>
            </w:tcMar>
          </w:tcPr>
          <w:p>
            <w:pPr>
              <w:spacing w:after="200"/>
            </w:pPr>
            <w:r>
              <w:rPr>
                <w:b/>
                <w:i w:val="0"/>
                <w:color w:val="FBCE3C"/>
                <w:sz w:val="26"/>
                <w:rFonts w:ascii="Arial" w:hAnsi="Arial" w:cs="Arial"/>
              </w:rPr>
              <w:t xml:space="preserve">★ </w:t>
            </w:r>
            <w:r>
              <w:rPr>
                <w:b/>
                <w:i w:val="0"/>
                <w:color w:val="FFFFFF"/>
                <w:sz w:val="26"/>
                <w:rFonts w:ascii="Arial" w:hAnsi="Arial" w:cs="Arial"/>
              </w:rPr>
              <w:t>HANDWERK</w:t>
            </w:r>
            <w:r>
              <w:rPr>
                <w:b/>
                <w:i w:val="0"/>
                <w:color w:val="FBCE3C"/>
                <w:sz w:val="26"/>
                <w:rFonts w:ascii="Arial" w:hAnsi="Arial" w:cs="Arial"/>
              </w:rPr>
              <w:t>STARS</w:t>
            </w:r>
          </w:p>
          <w:p>
            <w:pPr>
              <w:spacing w:after="240"/>
            </w:pPr>
            <w:r>
              <w:rPr>
                <w:b/>
                <w:i w:val="0"/>
                <w:color w:val="FBCE3C"/>
                <w:sz w:val="18"/>
                <w:rFonts w:ascii="Arial" w:hAnsi="Arial" w:cs="Arial"/>
              </w:rPr>
              <w:t>TOP-HANDWERKER ERFOLGSKIT · WERKZEUG 1 VON 7</w:t>
            </w:r>
          </w:p>
          <w:p>
            <w:pPr>
              <w:spacing w:after="160"/>
            </w:pPr>
            <w:r>
              <w:rPr>
                <w:b/>
                <w:i w:val="0"/>
                <w:color w:val="FFFFFF"/>
                <w:sz w:val="48"/>
                <w:rFonts w:ascii="Arial" w:hAnsi="Arial" w:cs="Arial"/>
              </w:rPr>
              <w:t>Vom Kostenaufschlag zum Wert</w:t>
            </w:r>
          </w:p>
          <w:p>
            <w:pPr>
              <w:spacing w:after="320"/>
            </w:pPr>
            <w:r>
              <w:rPr>
                <w:b w:val="0"/>
                <w:i w:val="0"/>
                <w:color w:val="DDDDDD"/>
                <w:sz w:val="24"/>
                <w:rFonts w:ascii="Arial" w:hAnsi="Arial" w:cs="Arial"/>
              </w:rPr>
              <w:t>Das Methoden-Arbeitsheft zur wertorientierten Preisgestaltung</w:t>
            </w:r>
          </w:p>
          <w:p>
            <w:pPr>
              <w:spacing w:after="0"/>
            </w:pPr>
            <w:r>
              <w:rPr>
                <w:b/>
                <w:i w:val="0"/>
                <w:color w:val="FBCE3C"/>
                <w:sz w:val="20"/>
                <w:rFonts w:ascii="Arial" w:hAnsi="Arial" w:cs="Arial"/>
              </w:rPr>
              <w:t>Eine Klasse für sich.</w:t>
            </w:r>
          </w:p>
        </w:tc>
      </w:tr>
    </w:tbl>
    <w:p>
      <w:pPr>
        <w:spacing w:after="200"/>
      </w:pPr>
    </w:p>
    <w:p>
      <w:pPr>
        <w:pStyle w:val="Heading2"/>
      </w:pPr>
      <w:r>
        <w:rPr>
          <w:b/>
          <w:i w:val="0"/>
          <w:color w:val="0A0A0A"/>
          <w:sz w:val="26"/>
          <w:rFonts w:ascii="Arial" w:hAnsi="Arial" w:cs="Arial"/>
        </w:rPr>
        <w:t>Inhalt</w:t>
      </w:r>
    </w:p>
    <w:p>
      <w:r>
        <w:fldChar w:fldCharType="begin"/>
      </w:r>
      <w:r>
        <w:instrText xml:space="preserve">TOC \o "1-2" \h \z \u</w:instrText>
      </w:r>
      <w:r>
        <w:fldChar w:fldCharType="separate"/>
      </w:r>
      <w:r>
        <w:rPr>
          <w:rFonts w:ascii="Arial" w:hAnsi="Arial"/>
          <w:color w:val="888888"/>
          <w:sz w:val="18"/>
        </w:rPr>
        <w:t>Inhaltsverzeichnis in Word mit F9 aktualisieren.</w:t>
      </w:r>
      <w:r>
        <w:fldChar w:fldCharType="end"/>
      </w:r>
    </w:p>
    <w:p>
      <w:r>
        <w:br w:type="page"/>
      </w:r>
    </w:p>
    <w:p>
      <w:pPr>
        <w:pStyle w:val="Heading1"/>
      </w:pPr>
      <w:r>
        <w:rPr>
          <w:b/>
          <w:i w:val="0"/>
          <w:color w:val="0A0A0A"/>
          <w:sz w:val="32"/>
          <w:rFonts w:ascii="Arial" w:hAnsi="Arial" w:cs="Arial"/>
        </w:rPr>
        <w:t>1. Worum es in diesem Heft geht</w:t>
      </w:r>
    </w:p>
    <w:p>
      <w:pPr>
        <w:spacing w:after="120" w:before="0" w:line="276" w:lineRule="auto"/>
      </w:pPr>
      <w:r>
        <w:rPr>
          <w:b w:val="0"/>
          <w:i w:val="0"/>
          <w:color w:val="333333"/>
          <w:sz w:val="22"/>
          <w:rFonts w:ascii="Arial" w:hAnsi="Arial" w:cs="Arial"/>
        </w:rPr>
        <w:t>Dieses Arbeitsheft zeigt Ihnen, wie die besten 10 Prozent der Handwerksbetriebe ihre Preise bilden, und warum das mit Ihrem handwerklichen Können wenig, mit Ihrer Preislogik aber alles zu tun hat. Sie lernen, weg vom reinen Stundenlohn und hin zum Festpreis-Paket zu kommen, das den Wert Ihrer Lösung abbildet.</w:t>
      </w:r>
    </w:p>
    <w:p>
      <w:pPr>
        <w:spacing w:after="120" w:before="0" w:line="276" w:lineRule="auto"/>
      </w:pPr>
      <w:r>
        <w:rPr>
          <w:b w:val="0"/>
          <w:i w:val="0"/>
          <w:color w:val="333333"/>
          <w:sz w:val="22"/>
          <w:rFonts w:ascii="Arial" w:hAnsi="Arial" w:cs="Arial"/>
        </w:rPr>
        <w:t>Es gehört zum Werkzeug 1 des Top-Handwerker Erfolgskits. Nutzen Sie es gemeinsam mit dem Wert-Rechner (als App und als Excel-Datei): Hier verstehen Sie die Methode, dort rechnen Sie Ihre konkreten Zahlen.</w:t>
      </w:r>
    </w:p>
    <w:tbl>
      <w:tblPr>
        <w:tblW w:type="auto" w:w="0"/>
        <w:jc w:val="center"/>
        <w:tblLook w:firstColumn="1" w:firstRow="1" w:lastColumn="0" w:lastRow="0" w:noHBand="0" w:noVBand="1" w:val="04A0"/>
        <w:tblBorders>
          <w:top w:val="none"/>
          <w:left w:val="none"/>
          <w:bottom w:val="none"/>
          <w:right w:val="none"/>
          <w:insideH w:val="none"/>
          <w:insideV w:val="none"/>
        </w:tblBorders>
      </w:tblPr>
      <w:tblGrid>
        <w:gridCol w:w="9746"/>
      </w:tblGrid>
      <w:tr>
        <w:tc>
          <w:tcPr>
            <w:tcW w:type="dxa" w:w="9746"/>
            <w:shd w:val="clear" w:fill="0A0A0A"/>
            <w:tcMar>
              <w:top w:w="140" w:type="dxa"/>
              <w:bottom w:w="140" w:type="dxa"/>
              <w:start w:w="160" w:type="dxa"/>
              <w:end w:w="160" w:type="dxa"/>
            </w:tcMar>
          </w:tcPr>
          <w:p>
            <w:pPr>
              <w:spacing w:after="60"/>
            </w:pPr>
            <w:r>
              <w:rPr>
                <w:b/>
                <w:i w:val="0"/>
                <w:color w:val="FBCE3C"/>
                <w:sz w:val="20"/>
                <w:rFonts w:ascii="Arial" w:hAnsi="Arial" w:cs="Arial"/>
              </w:rPr>
              <w:t>FÜR WEN</w:t>
            </w:r>
          </w:p>
          <w:p>
            <w:pPr>
              <w:spacing w:after="0"/>
            </w:pPr>
            <w:r>
              <w:rPr>
                <w:b w:val="0"/>
                <w:i w:val="0"/>
                <w:color w:val="FFFFFF"/>
                <w:sz w:val="21"/>
                <w:rFonts w:ascii="Arial" w:hAnsi="Arial" w:cs="Arial"/>
              </w:rPr>
              <w:t>Inhaber von Handwerksbetrieben mit eigenem Kundenkontakt, die spürbar zu günstig anbieten und im Preiswettbewerb stecken. Schwerpunkt der Beispiele: Sanitär, Heizung, Klima, die Methode gilt für jedes Gewerk.</w:t>
            </w:r>
          </w:p>
        </w:tc>
      </w:tr>
    </w:tbl>
    <w:p>
      <w:pPr>
        <w:spacing w:after="120"/>
      </w:pPr>
    </w:p>
    <w:p>
      <w:pPr>
        <w:pStyle w:val="Heading1"/>
      </w:pPr>
      <w:r>
        <w:rPr>
          <w:b/>
          <w:i w:val="0"/>
          <w:color w:val="0A0A0A"/>
          <w:sz w:val="32"/>
          <w:rFonts w:ascii="Arial" w:hAnsi="Arial" w:cs="Arial"/>
        </w:rPr>
        <w:t>2. Die Ausgangslage: Warum der Durchschnitt sich kaputt rechnet</w:t>
      </w:r>
    </w:p>
    <w:p>
      <w:pPr>
        <w:spacing w:after="120" w:before="0" w:line="276" w:lineRule="auto"/>
      </w:pPr>
      <w:r>
        <w:rPr>
          <w:b w:val="0"/>
          <w:i w:val="0"/>
          <w:color w:val="333333"/>
          <w:sz w:val="22"/>
          <w:rFonts w:ascii="Arial" w:hAnsi="Arial" w:cs="Arial"/>
        </w:rPr>
        <w:t>Die Schere zwischen dem Durchschnittsbetrieb und den Top-Performern wird größer. Drei Zahlen aus dem Branchenvergleich machen das deutlich:</w:t>
      </w:r>
    </w:p>
    <w:tbl>
      <w:tblPr>
        <w:tblStyle w:val="TableGrid"/>
        <w:tblW w:type="auto" w:w="0"/>
        <w:jc w:val="center"/>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Pr>
      <w:tblGrid>
        <w:gridCol w:w="3249"/>
        <w:gridCol w:w="3249"/>
        <w:gridCol w:w="3249"/>
      </w:tblGrid>
      <w:tr>
        <w:tc>
          <w:tcPr>
            <w:tcW w:type="dxa" w:w="4252"/>
            <w:shd w:val="clear" w:fill="333333"/>
            <w:tcMar>
              <w:top w:w="80" w:type="dxa"/>
              <w:bottom w:w="80" w:type="dxa"/>
              <w:start w:w="120" w:type="dxa"/>
              <w:end w:w="120" w:type="dxa"/>
            </w:tcMar>
          </w:tcPr>
          <w:p>
            <w:pPr>
              <w:spacing w:after="0"/>
            </w:pPr>
            <w:r>
              <w:rPr>
                <w:b/>
                <w:i w:val="0"/>
                <w:color w:val="FFFFFF"/>
                <w:sz w:val="19"/>
                <w:rFonts w:ascii="Arial" w:hAnsi="Arial" w:cs="Arial"/>
              </w:rPr>
              <w:t>Kennzahl</w:t>
            </w:r>
          </w:p>
        </w:tc>
        <w:tc>
          <w:tcPr>
            <w:tcW w:type="dxa" w:w="2551"/>
            <w:shd w:val="clear" w:fill="333333"/>
            <w:tcMar>
              <w:top w:w="80" w:type="dxa"/>
              <w:bottom w:w="80" w:type="dxa"/>
              <w:start w:w="120" w:type="dxa"/>
              <w:end w:w="120" w:type="dxa"/>
            </w:tcMar>
          </w:tcPr>
          <w:p>
            <w:pPr>
              <w:spacing w:after="0"/>
            </w:pPr>
            <w:r>
              <w:rPr>
                <w:b/>
                <w:i w:val="0"/>
                <w:color w:val="FFFFFF"/>
                <w:sz w:val="19"/>
                <w:rFonts w:ascii="Arial" w:hAnsi="Arial" w:cs="Arial"/>
              </w:rPr>
              <w:t>Durchschnitt</w:t>
            </w:r>
          </w:p>
        </w:tc>
        <w:tc>
          <w:tcPr>
            <w:tcW w:type="dxa" w:w="2551"/>
            <w:shd w:val="clear" w:fill="333333"/>
            <w:tcMar>
              <w:top w:w="80" w:type="dxa"/>
              <w:bottom w:w="80" w:type="dxa"/>
              <w:start w:w="120" w:type="dxa"/>
              <w:end w:w="120" w:type="dxa"/>
            </w:tcMar>
          </w:tcPr>
          <w:p>
            <w:pPr>
              <w:spacing w:after="0"/>
            </w:pPr>
            <w:r>
              <w:rPr>
                <w:b/>
                <w:i w:val="0"/>
                <w:color w:val="FFFFFF"/>
                <w:sz w:val="19"/>
                <w:rFonts w:ascii="Arial" w:hAnsi="Arial" w:cs="Arial"/>
              </w:rPr>
              <w:t>Top 10 %</w:t>
            </w:r>
          </w:p>
        </w:tc>
      </w:tr>
      <w:tr>
        <w:tc>
          <w:tcPr>
            <w:tcW w:type="dxa" w:w="4252"/>
            <w:tcMar>
              <w:top w:w="80" w:type="dxa"/>
              <w:bottom w:w="80" w:type="dxa"/>
              <w:start w:w="120" w:type="dxa"/>
              <w:end w:w="120" w:type="dxa"/>
            </w:tcMar>
          </w:tcPr>
          <w:p>
            <w:pPr>
              <w:spacing w:after="0"/>
            </w:pPr>
            <w:r>
              <w:rPr>
                <w:b/>
                <w:i w:val="0"/>
                <w:color w:val="333333"/>
                <w:sz w:val="20"/>
                <w:rFonts w:ascii="Arial" w:hAnsi="Arial" w:cs="Arial"/>
              </w:rPr>
              <w:t>Effektiver Stundensatz (netto)</w:t>
            </w:r>
          </w:p>
        </w:tc>
        <w:tc>
          <w:tcPr>
            <w:tcW w:type="dxa" w:w="2551"/>
            <w:tcMar>
              <w:top w:w="80" w:type="dxa"/>
              <w:bottom w:w="80" w:type="dxa"/>
              <w:start w:w="120" w:type="dxa"/>
              <w:end w:w="120" w:type="dxa"/>
            </w:tcMar>
          </w:tcPr>
          <w:p>
            <w:pPr>
              <w:spacing w:after="0"/>
            </w:pPr>
            <w:r>
              <w:rPr>
                <w:b w:val="0"/>
                <w:i w:val="0"/>
                <w:color w:val="333333"/>
                <w:sz w:val="20"/>
                <w:rFonts w:ascii="Arial" w:hAnsi="Arial" w:cs="Arial"/>
              </w:rPr>
              <w:t>60 bis 75 €</w:t>
            </w:r>
          </w:p>
        </w:tc>
        <w:tc>
          <w:tcPr>
            <w:tcW w:type="dxa" w:w="2551"/>
            <w:tcMar>
              <w:top w:w="80" w:type="dxa"/>
              <w:bottom w:w="80" w:type="dxa"/>
              <w:start w:w="120" w:type="dxa"/>
              <w:end w:w="120" w:type="dxa"/>
            </w:tcMar>
          </w:tcPr>
          <w:p>
            <w:pPr>
              <w:spacing w:after="0"/>
            </w:pPr>
            <w:r>
              <w:rPr>
                <w:b w:val="0"/>
                <w:i w:val="0"/>
                <w:color w:val="333333"/>
                <w:sz w:val="20"/>
                <w:rFonts w:ascii="Arial" w:hAnsi="Arial" w:cs="Arial"/>
              </w:rPr>
              <w:t>85 bis 110 €</w:t>
            </w:r>
          </w:p>
        </w:tc>
      </w:tr>
      <w:tr>
        <w:tc>
          <w:tcPr>
            <w:tcW w:type="dxa" w:w="4252"/>
            <w:tcMar>
              <w:top w:w="80" w:type="dxa"/>
              <w:bottom w:w="80" w:type="dxa"/>
              <w:start w:w="120" w:type="dxa"/>
              <w:end w:w="120" w:type="dxa"/>
            </w:tcMar>
          </w:tcPr>
          <w:p>
            <w:pPr>
              <w:spacing w:after="0"/>
            </w:pPr>
            <w:r>
              <w:rPr>
                <w:b/>
                <w:i w:val="0"/>
                <w:color w:val="333333"/>
                <w:sz w:val="20"/>
                <w:rFonts w:ascii="Arial" w:hAnsi="Arial" w:cs="Arial"/>
              </w:rPr>
              <w:t>EBIT-Marge</w:t>
            </w:r>
          </w:p>
        </w:tc>
        <w:tc>
          <w:tcPr>
            <w:tcW w:type="dxa" w:w="2551"/>
            <w:tcMar>
              <w:top w:w="80" w:type="dxa"/>
              <w:bottom w:w="80" w:type="dxa"/>
              <w:start w:w="120" w:type="dxa"/>
              <w:end w:w="120" w:type="dxa"/>
            </w:tcMar>
          </w:tcPr>
          <w:p>
            <w:pPr>
              <w:spacing w:after="0"/>
            </w:pPr>
            <w:r>
              <w:rPr>
                <w:b w:val="0"/>
                <w:i w:val="0"/>
                <w:color w:val="333333"/>
                <w:sz w:val="20"/>
                <w:rFonts w:ascii="Arial" w:hAnsi="Arial" w:cs="Arial"/>
              </w:rPr>
              <w:t>3 bis 6 %</w:t>
            </w:r>
          </w:p>
        </w:tc>
        <w:tc>
          <w:tcPr>
            <w:tcW w:type="dxa" w:w="2551"/>
            <w:tcMar>
              <w:top w:w="80" w:type="dxa"/>
              <w:bottom w:w="80" w:type="dxa"/>
              <w:start w:w="120" w:type="dxa"/>
              <w:end w:w="120" w:type="dxa"/>
            </w:tcMar>
          </w:tcPr>
          <w:p>
            <w:pPr>
              <w:spacing w:after="0"/>
            </w:pPr>
            <w:r>
              <w:rPr>
                <w:b w:val="0"/>
                <w:i w:val="0"/>
                <w:color w:val="333333"/>
                <w:sz w:val="20"/>
                <w:rFonts w:ascii="Arial" w:hAnsi="Arial" w:cs="Arial"/>
              </w:rPr>
              <w:t>12 bis 18 %</w:t>
            </w:r>
          </w:p>
        </w:tc>
      </w:tr>
      <w:tr>
        <w:tc>
          <w:tcPr>
            <w:tcW w:type="dxa" w:w="4252"/>
            <w:tcMar>
              <w:top w:w="80" w:type="dxa"/>
              <w:bottom w:w="80" w:type="dxa"/>
              <w:start w:w="120" w:type="dxa"/>
              <w:end w:w="120" w:type="dxa"/>
            </w:tcMar>
          </w:tcPr>
          <w:p>
            <w:pPr>
              <w:spacing w:after="0"/>
            </w:pPr>
            <w:r>
              <w:rPr>
                <w:b/>
                <w:i w:val="0"/>
                <w:color w:val="333333"/>
                <w:sz w:val="20"/>
                <w:rFonts w:ascii="Arial" w:hAnsi="Arial" w:cs="Arial"/>
              </w:rPr>
              <w:t>Abschlussquote bei Angeboten</w:t>
            </w:r>
          </w:p>
        </w:tc>
        <w:tc>
          <w:tcPr>
            <w:tcW w:type="dxa" w:w="2551"/>
            <w:tcMar>
              <w:top w:w="80" w:type="dxa"/>
              <w:bottom w:w="80" w:type="dxa"/>
              <w:start w:w="120" w:type="dxa"/>
              <w:end w:w="120" w:type="dxa"/>
            </w:tcMar>
          </w:tcPr>
          <w:p>
            <w:pPr>
              <w:spacing w:after="0"/>
            </w:pPr>
            <w:r>
              <w:rPr>
                <w:b w:val="0"/>
                <w:i w:val="0"/>
                <w:color w:val="333333"/>
                <w:sz w:val="20"/>
                <w:rFonts w:ascii="Arial" w:hAnsi="Arial" w:cs="Arial"/>
              </w:rPr>
              <w:t>15 bis 25 %</w:t>
            </w:r>
          </w:p>
        </w:tc>
        <w:tc>
          <w:tcPr>
            <w:tcW w:type="dxa" w:w="2551"/>
            <w:tcMar>
              <w:top w:w="80" w:type="dxa"/>
              <w:bottom w:w="80" w:type="dxa"/>
              <w:start w:w="120" w:type="dxa"/>
              <w:end w:w="120" w:type="dxa"/>
            </w:tcMar>
          </w:tcPr>
          <w:p>
            <w:pPr>
              <w:spacing w:after="0"/>
            </w:pPr>
            <w:r>
              <w:rPr>
                <w:b w:val="0"/>
                <w:i w:val="0"/>
                <w:color w:val="333333"/>
                <w:sz w:val="20"/>
                <w:rFonts w:ascii="Arial" w:hAnsi="Arial" w:cs="Arial"/>
              </w:rPr>
              <w:t>45 bis 65 %</w:t>
            </w:r>
          </w:p>
        </w:tc>
      </w:tr>
    </w:tbl>
    <w:p>
      <w:pPr>
        <w:spacing w:after="120"/>
      </w:pPr>
    </w:p>
    <w:p>
      <w:pPr>
        <w:spacing w:after="120" w:before="0" w:line="276" w:lineRule="auto"/>
      </w:pPr>
      <w:r>
        <w:rPr>
          <w:b w:val="0"/>
          <w:i w:val="0"/>
          <w:color w:val="333333"/>
          <w:sz w:val="22"/>
          <w:rFonts w:ascii="Arial" w:hAnsi="Arial" w:cs="Arial"/>
        </w:rPr>
        <w:t>Bei 1 Mio. Euro Umsatz trennt einen Durchschnittsbetrieb (4 % Marge = 40.000 € Gewinn) von einem Top-Betrieb (12 % Marge = 120.000 € Gewinn) eine Lücke von rund 80.000 Euro pro Jahr. Der größte Hebel, um diese Lücke zu schließen, ist der Preis, nicht mehr Stunden.</w:t>
      </w:r>
    </w:p>
    <w:p>
      <w:pPr>
        <w:pStyle w:val="Heading1"/>
      </w:pPr>
      <w:r>
        <w:rPr>
          <w:b/>
          <w:i w:val="0"/>
          <w:color w:val="0A0A0A"/>
          <w:sz w:val="32"/>
          <w:rFonts w:ascii="Arial" w:hAnsi="Arial" w:cs="Arial"/>
        </w:rPr>
        <w:t>3. Der Denkfehler: Kosten + Aufschlag</w:t>
      </w:r>
    </w:p>
    <w:p>
      <w:pPr>
        <w:spacing w:after="120" w:before="0" w:line="276" w:lineRule="auto"/>
      </w:pPr>
      <w:r>
        <w:rPr>
          <w:b w:val="0"/>
          <w:i w:val="0"/>
          <w:color w:val="333333"/>
          <w:sz w:val="22"/>
          <w:rFonts w:ascii="Arial" w:hAnsi="Arial" w:cs="Arial"/>
        </w:rPr>
        <w:t>Der Durchschnittsbetrieb bildet seinen Preis von unten nach oben: Materialkosten, dazu die Stunden mal Stundensatz, oben drauf ein kleiner Aufschlag.</w:t>
      </w:r>
    </w:p>
    <w:tbl>
      <w:tblPr>
        <w:tblW w:type="auto" w:w="0"/>
        <w:jc w:val="center"/>
        <w:tblLook w:firstColumn="1" w:firstRow="1" w:lastColumn="0" w:lastRow="0" w:noHBand="0" w:noVBand="1" w:val="04A0"/>
        <w:tblBorders>
          <w:top w:val="none"/>
          <w:left w:val="none"/>
          <w:bottom w:val="none"/>
          <w:right w:val="none"/>
          <w:insideH w:val="none"/>
          <w:insideV w:val="none"/>
        </w:tblBorders>
      </w:tblPr>
      <w:tblGrid>
        <w:gridCol w:w="9746"/>
      </w:tblGrid>
      <w:tr>
        <w:tc>
          <w:tcPr>
            <w:tcW w:type="dxa" w:w="9746"/>
            <w:shd w:val="clear" w:fill="FAFAFA"/>
            <w:tcMar>
              <w:top w:w="140" w:type="dxa"/>
              <w:bottom w:w="140" w:type="dxa"/>
              <w:start w:w="160" w:type="dxa"/>
              <w:end w:w="160" w:type="dxa"/>
            </w:tcMar>
          </w:tcPr>
          <w:p>
            <w:pPr>
              <w:spacing w:after="60"/>
            </w:pPr>
            <w:r>
              <w:rPr>
                <w:b/>
                <w:i w:val="0"/>
                <w:color w:val="333333"/>
                <w:sz w:val="20"/>
                <w:rFonts w:ascii="Arial" w:hAnsi="Arial" w:cs="Arial"/>
              </w:rPr>
              <w:t>DIE KLASSISCHE FORMEL</w:t>
            </w:r>
          </w:p>
          <w:p>
            <w:pPr>
              <w:spacing w:after="0"/>
            </w:pPr>
            <w:r>
              <w:rPr>
                <w:b w:val="0"/>
                <w:i w:val="0"/>
                <w:color w:val="0A0A0A"/>
                <w:sz w:val="21"/>
                <w:rFonts w:ascii="Arial" w:hAnsi="Arial" w:cs="Arial"/>
              </w:rPr>
              <w:t>Material + (Stunden × Stundensatz) + Aufschlag = Preis</w:t>
            </w:r>
          </w:p>
        </w:tc>
      </w:tr>
    </w:tbl>
    <w:p>
      <w:pPr>
        <w:spacing w:after="120"/>
      </w:pPr>
    </w:p>
    <w:p>
      <w:pPr>
        <w:spacing w:after="120" w:before="0" w:line="276" w:lineRule="auto"/>
      </w:pPr>
      <w:r>
        <w:rPr>
          <w:b w:val="0"/>
          <w:i w:val="0"/>
          <w:color w:val="333333"/>
          <w:sz w:val="22"/>
          <w:rFonts w:ascii="Arial" w:hAnsi="Arial" w:cs="Arial"/>
        </w:rPr>
        <w:t>Das Problem ist nicht die Rechnung, sondern was sie auslöst: Der Kunde sieht jede Position und vergleicht sie mit dem nächsten Angebot. Ihr Stundensatz wird zur Verhandlungsmasse, Ihre Leistung austauschbar. Wer so kalkuliert, landet zwangsläufig im Preiskampf, und gibt seine Marge Position für Position her.</w:t>
      </w:r>
    </w:p>
    <w:p>
      <w:pPr>
        <w:pStyle w:val="Heading1"/>
      </w:pPr>
      <w:r>
        <w:rPr>
          <w:b/>
          <w:i w:val="0"/>
          <w:color w:val="0A0A0A"/>
          <w:sz w:val="32"/>
          <w:rFonts w:ascii="Arial" w:hAnsi="Arial" w:cs="Arial"/>
        </w:rPr>
        <w:t>4. Der Perspektivwechsel: Was ist die Lösung dem Kunden wert?</w:t>
      </w:r>
    </w:p>
    <w:p>
      <w:pPr>
        <w:spacing w:after="120" w:before="0" w:line="276" w:lineRule="auto"/>
      </w:pPr>
      <w:r>
        <w:rPr>
          <w:b w:val="0"/>
          <w:i w:val="0"/>
          <w:color w:val="333333"/>
          <w:sz w:val="22"/>
          <w:rFonts w:ascii="Arial" w:hAnsi="Arial" w:cs="Arial"/>
        </w:rPr>
        <w:t>Die besten Betriebe bilden den Preis von oben nach unten: Sie fragen zuerst, was die Lösung dem Kunden wert ist, Sicherheit, Tempo, eine Sorge weniger, ein Ergebnis ohne Risiko. Daraus wird ein Festpreis-Paket. Der Stundensatz verschwindet im Paket und ist nicht mehr angreifbar.</w:t>
      </w:r>
    </w:p>
    <w:p>
      <w:pPr>
        <w:spacing w:after="120" w:before="0" w:line="276" w:lineRule="auto"/>
      </w:pPr>
      <w:r>
        <w:rPr>
          <w:b w:val="0"/>
          <w:i w:val="0"/>
          <w:color w:val="333333"/>
          <w:sz w:val="22"/>
          <w:rFonts w:ascii="Arial" w:hAnsi="Arial" w:cs="Arial"/>
        </w:rPr>
        <w:t>Der entscheidende Satz: Der Kunde kauft nicht Ihre Zeit, sondern sein Ergebnis. Eine Familie, die im Winter ohne Heizung dasteht, kauft Wärme und Sicherheit, nicht 1,5 Arbeitsstunden.</w:t>
      </w:r>
    </w:p>
    <w:tbl>
      <w:tblPr>
        <w:tblW w:type="auto" w:w="0"/>
        <w:jc w:val="center"/>
        <w:tblLook w:firstColumn="1" w:firstRow="1" w:lastColumn="0" w:lastRow="0" w:noHBand="0" w:noVBand="1" w:val="04A0"/>
        <w:tblBorders>
          <w:top w:val="none"/>
          <w:left w:val="none"/>
          <w:bottom w:val="none"/>
          <w:right w:val="none"/>
          <w:insideH w:val="none"/>
          <w:insideV w:val="none"/>
        </w:tblBorders>
      </w:tblPr>
      <w:tblGrid>
        <w:gridCol w:w="9746"/>
      </w:tblGrid>
      <w:tr>
        <w:tc>
          <w:tcPr>
            <w:tcW w:type="dxa" w:w="9746"/>
            <w:shd w:val="clear" w:fill="0A0A0A"/>
            <w:tcMar>
              <w:top w:w="140" w:type="dxa"/>
              <w:bottom w:w="140" w:type="dxa"/>
              <w:start w:w="160" w:type="dxa"/>
              <w:end w:w="160" w:type="dxa"/>
            </w:tcMar>
          </w:tcPr>
          <w:p>
            <w:pPr>
              <w:spacing w:after="60"/>
            </w:pPr>
            <w:r>
              <w:rPr>
                <w:b/>
                <w:i w:val="0"/>
                <w:color w:val="FBCE3C"/>
                <w:sz w:val="20"/>
                <w:rFonts w:ascii="Arial" w:hAnsi="Arial" w:cs="Arial"/>
              </w:rPr>
              <w:t>MERKSATZ</w:t>
            </w:r>
          </w:p>
          <w:p>
            <w:pPr>
              <w:spacing w:after="0"/>
            </w:pPr>
            <w:r>
              <w:rPr>
                <w:b w:val="0"/>
                <w:i w:val="0"/>
                <w:color w:val="FFFFFF"/>
                <w:sz w:val="21"/>
                <w:rFonts w:ascii="Arial" w:hAnsi="Arial" w:cs="Arial"/>
              </w:rPr>
              <w:t>Hören Sie auf, Ihre Stunden zu verkaufen. Verkaufen Sie den Wert.</w:t>
            </w:r>
          </w:p>
        </w:tc>
      </w:tr>
    </w:tbl>
    <w:p>
      <w:pPr>
        <w:spacing w:after="120"/>
      </w:pPr>
    </w:p>
    <w:p>
      <w:pPr>
        <w:pStyle w:val="Heading1"/>
      </w:pPr>
      <w:r>
        <w:rPr>
          <w:b/>
          <w:i w:val="0"/>
          <w:color w:val="0A0A0A"/>
          <w:sz w:val="32"/>
          <w:rFonts w:ascii="Arial" w:hAnsi="Arial" w:cs="Arial"/>
        </w:rPr>
        <w:t>5. Die sieben Wert-Hebel</w:t>
      </w:r>
    </w:p>
    <w:p>
      <w:pPr>
        <w:spacing w:after="120" w:before="0" w:line="276" w:lineRule="auto"/>
      </w:pPr>
      <w:r>
        <w:rPr>
          <w:b w:val="0"/>
          <w:i w:val="0"/>
          <w:color w:val="333333"/>
          <w:sz w:val="22"/>
          <w:rFonts w:ascii="Arial" w:hAnsi="Arial" w:cs="Arial"/>
        </w:rPr>
        <w:t>Diese sieben Hebel begründen Ihren Preis, nicht der Stundensatz. Jeder ist zugleich ein Argument, das Sie im Kundengespräch aussprechen sollten. Die Prozentwerte sind Richtwerte für den Aufschlag auf den klassischen Angebotspreis.</w:t>
      </w:r>
    </w:p>
    <w:p>
      <w:pPr>
        <w:pStyle w:val="Heading3"/>
      </w:pPr>
      <w:r>
        <w:rPr>
          <w:b/>
          <w:i w:val="0"/>
          <w:color w:val="0A0A0A"/>
          <w:sz w:val="22"/>
          <w:rFonts w:ascii="Arial" w:hAnsi="Arial" w:cs="Arial"/>
        </w:rPr>
        <w:t>Festpreis-Sicherheit  (+12 %)</w:t>
      </w:r>
    </w:p>
    <w:p>
      <w:pPr>
        <w:spacing w:after="40" w:before="0" w:line="276" w:lineRule="auto"/>
      </w:pPr>
      <w:r>
        <w:rPr>
          <w:b w:val="0"/>
          <w:i w:val="0"/>
          <w:color w:val="333333"/>
          <w:sz w:val="22"/>
          <w:rFonts w:ascii="Arial" w:hAnsi="Arial" w:cs="Arial"/>
        </w:rPr>
        <w:t>Der Kunde trägt kein Kostenrisiko mehr, Sie übernehmen es. Sicherheit hat einen Preis, und zwar Ihren.</w:t>
      </w:r>
    </w:p>
    <w:p>
      <w:pPr>
        <w:spacing w:after="160" w:before="0" w:line="276" w:lineRule="auto"/>
      </w:pPr>
      <w:r>
        <w:rPr>
          <w:b/>
          <w:i w:val="0"/>
          <w:color w:val="0A0A0A"/>
          <w:sz w:val="22"/>
          <w:rFonts w:ascii="Arial" w:hAnsi="Arial" w:cs="Arial"/>
        </w:rPr>
        <w:t xml:space="preserve">So setzen Sie es um: </w:t>
      </w:r>
      <w:r>
        <w:rPr>
          <w:b w:val="0"/>
          <w:i w:val="0"/>
          <w:color w:val="333333"/>
          <w:sz w:val="22"/>
          <w:rFonts w:ascii="Arial" w:hAnsi="Arial" w:cs="Arial"/>
        </w:rPr>
        <w:t>Geben Sie einen verbindlichen Festpreis statt eines Voranschlags „circa“. Halten Sie ihn ein, dann wird er zum Verkaufsargument.</w:t>
      </w:r>
    </w:p>
    <w:p>
      <w:pPr>
        <w:pStyle w:val="Heading3"/>
      </w:pPr>
      <w:r>
        <w:rPr>
          <w:b/>
          <w:i w:val="0"/>
          <w:color w:val="0A0A0A"/>
          <w:sz w:val="22"/>
          <w:rFonts w:ascii="Arial" w:hAnsi="Arial" w:cs="Arial"/>
        </w:rPr>
        <w:t>Reaktionsgeschwindigkeit  (+15 %)</w:t>
      </w:r>
    </w:p>
    <w:p>
      <w:pPr>
        <w:spacing w:after="40" w:before="0" w:line="276" w:lineRule="auto"/>
      </w:pPr>
      <w:r>
        <w:rPr>
          <w:b w:val="0"/>
          <w:i w:val="0"/>
          <w:color w:val="333333"/>
          <w:sz w:val="22"/>
          <w:rFonts w:ascii="Arial" w:hAnsi="Arial" w:cs="Arial"/>
        </w:rPr>
        <w:t>Schnelligkeit ist im Notfall mehr wert als jeder Rabatt. Wer zuerst da ist, gewinnt, und setzt den Preisanker.</w:t>
      </w:r>
    </w:p>
    <w:p>
      <w:pPr>
        <w:spacing w:after="160" w:before="0" w:line="276" w:lineRule="auto"/>
      </w:pPr>
      <w:r>
        <w:rPr>
          <w:b/>
          <w:i w:val="0"/>
          <w:color w:val="0A0A0A"/>
          <w:sz w:val="22"/>
          <w:rFonts w:ascii="Arial" w:hAnsi="Arial" w:cs="Arial"/>
        </w:rPr>
        <w:t xml:space="preserve">So setzen Sie es um: </w:t>
      </w:r>
      <w:r>
        <w:rPr>
          <w:b w:val="0"/>
          <w:i w:val="0"/>
          <w:color w:val="333333"/>
          <w:sz w:val="22"/>
          <w:rFonts w:ascii="Arial" w:hAnsi="Arial" w:cs="Arial"/>
        </w:rPr>
        <w:t>Definieren Sie feste Reaktionszeiten („Rückruf binnen 2 Stunden“, „Termin binnen 5 Werktagen“) und kommunizieren Sie sie aktiv.</w:t>
      </w:r>
    </w:p>
    <w:p>
      <w:pPr>
        <w:pStyle w:val="Heading3"/>
      </w:pPr>
      <w:r>
        <w:rPr>
          <w:b/>
          <w:i w:val="0"/>
          <w:color w:val="0A0A0A"/>
          <w:sz w:val="22"/>
          <w:rFonts w:ascii="Arial" w:hAnsi="Arial" w:cs="Arial"/>
        </w:rPr>
        <w:t>Komplettlösung aus einer Hand  (+18 %)</w:t>
      </w:r>
    </w:p>
    <w:p>
      <w:pPr>
        <w:spacing w:after="40" w:before="0" w:line="276" w:lineRule="auto"/>
      </w:pPr>
      <w:r>
        <w:rPr>
          <w:b w:val="0"/>
          <w:i w:val="0"/>
          <w:color w:val="333333"/>
          <w:sz w:val="22"/>
          <w:rFonts w:ascii="Arial" w:hAnsi="Arial" w:cs="Arial"/>
        </w:rPr>
        <w:t>Eine Sorge weniger: Planung, Material, Ausführung, Entsorgung, Abnahme, alles inklusive. Der Kunde muss nichts selbst koordinieren.</w:t>
      </w:r>
    </w:p>
    <w:p>
      <w:pPr>
        <w:spacing w:after="160" w:before="0" w:line="276" w:lineRule="auto"/>
      </w:pPr>
      <w:r>
        <w:rPr>
          <w:b/>
          <w:i w:val="0"/>
          <w:color w:val="0A0A0A"/>
          <w:sz w:val="22"/>
          <w:rFonts w:ascii="Arial" w:hAnsi="Arial" w:cs="Arial"/>
        </w:rPr>
        <w:t xml:space="preserve">So setzen Sie es um: </w:t>
      </w:r>
      <w:r>
        <w:rPr>
          <w:b w:val="0"/>
          <w:i w:val="0"/>
          <w:color w:val="333333"/>
          <w:sz w:val="22"/>
          <w:rFonts w:ascii="Arial" w:hAnsi="Arial" w:cs="Arial"/>
        </w:rPr>
        <w:t>Schnüren Sie ein Paket, das alle Schritte abdeckt, und benennen Sie es („Sorglos-Bad“, „Festpreis-Wärmepumpe“).</w:t>
      </w:r>
    </w:p>
    <w:p>
      <w:pPr>
        <w:pStyle w:val="Heading3"/>
      </w:pPr>
      <w:r>
        <w:rPr>
          <w:b/>
          <w:i w:val="0"/>
          <w:color w:val="0A0A0A"/>
          <w:sz w:val="22"/>
          <w:rFonts w:ascii="Arial" w:hAnsi="Arial" w:cs="Arial"/>
        </w:rPr>
        <w:t>Erweiterte Garantie  (+10 %)</w:t>
      </w:r>
    </w:p>
    <w:p>
      <w:pPr>
        <w:spacing w:after="40" w:before="0" w:line="276" w:lineRule="auto"/>
      </w:pPr>
      <w:r>
        <w:rPr>
          <w:b w:val="0"/>
          <w:i w:val="0"/>
          <w:color w:val="333333"/>
          <w:sz w:val="22"/>
          <w:rFonts w:ascii="Arial" w:hAnsi="Arial" w:cs="Arial"/>
        </w:rPr>
        <w:t>Leistung über das gesetzliche Maß hinaus signalisiert: Wir stehen für unsere Arbeit. Das senkt das wahrgenommene Risiko.</w:t>
      </w:r>
    </w:p>
    <w:p>
      <w:pPr>
        <w:spacing w:after="160" w:before="0" w:line="276" w:lineRule="auto"/>
      </w:pPr>
      <w:r>
        <w:rPr>
          <w:b/>
          <w:i w:val="0"/>
          <w:color w:val="0A0A0A"/>
          <w:sz w:val="22"/>
          <w:rFonts w:ascii="Arial" w:hAnsi="Arial" w:cs="Arial"/>
        </w:rPr>
        <w:t xml:space="preserve">So setzen Sie es um: </w:t>
      </w:r>
      <w:r>
        <w:rPr>
          <w:b w:val="0"/>
          <w:i w:val="0"/>
          <w:color w:val="333333"/>
          <w:sz w:val="22"/>
          <w:rFonts w:ascii="Arial" w:hAnsi="Arial" w:cs="Arial"/>
        </w:rPr>
        <w:t>Bieten Sie z. B. fünf statt zwei Jahre Gewährleistung auf die Montage und machen Sie das schriftlich sichtbar.</w:t>
      </w:r>
    </w:p>
    <w:p>
      <w:pPr>
        <w:pStyle w:val="Heading3"/>
      </w:pPr>
      <w:r>
        <w:rPr>
          <w:b/>
          <w:i w:val="0"/>
          <w:color w:val="0A0A0A"/>
          <w:sz w:val="22"/>
          <w:rFonts w:ascii="Arial" w:hAnsi="Arial" w:cs="Arial"/>
        </w:rPr>
        <w:t>Spezialisierung / Expertenstatus  (+15 %)</w:t>
      </w:r>
    </w:p>
    <w:p>
      <w:pPr>
        <w:spacing w:after="40" w:before="0" w:line="276" w:lineRule="auto"/>
      </w:pPr>
      <w:r>
        <w:rPr>
          <w:b w:val="0"/>
          <w:i w:val="0"/>
          <w:color w:val="333333"/>
          <w:sz w:val="22"/>
          <w:rFonts w:ascii="Arial" w:hAnsi="Arial" w:cs="Arial"/>
        </w:rPr>
        <w:t>Der Fachmann für genau diese Lösung verlangt mehr als der Allrounder, und bekommt es, weil Vertrauen entscheidet.</w:t>
      </w:r>
    </w:p>
    <w:p>
      <w:pPr>
        <w:spacing w:after="160" w:before="0" w:line="276" w:lineRule="auto"/>
      </w:pPr>
      <w:r>
        <w:rPr>
          <w:b/>
          <w:i w:val="0"/>
          <w:color w:val="0A0A0A"/>
          <w:sz w:val="22"/>
          <w:rFonts w:ascii="Arial" w:hAnsi="Arial" w:cs="Arial"/>
        </w:rPr>
        <w:t xml:space="preserve">So setzen Sie es um: </w:t>
      </w:r>
      <w:r>
        <w:rPr>
          <w:b w:val="0"/>
          <w:i w:val="0"/>
          <w:color w:val="333333"/>
          <w:sz w:val="22"/>
          <w:rFonts w:ascii="Arial" w:hAnsi="Arial" w:cs="Arial"/>
        </w:rPr>
        <w:t>Positionieren Sie sich sichtbar als Spezialist: Referenzen, Zertifikate, klarer Schwerpunkt auf der Website.</w:t>
      </w:r>
    </w:p>
    <w:p>
      <w:pPr>
        <w:pStyle w:val="Heading3"/>
      </w:pPr>
      <w:r>
        <w:rPr>
          <w:b/>
          <w:i w:val="0"/>
          <w:color w:val="0A0A0A"/>
          <w:sz w:val="22"/>
          <w:rFonts w:ascii="Arial" w:hAnsi="Arial" w:cs="Arial"/>
        </w:rPr>
        <w:t>Sauberkeit &amp; Premium-Erlebnis  (+8 %)</w:t>
      </w:r>
    </w:p>
    <w:p>
      <w:pPr>
        <w:spacing w:after="40" w:before="0" w:line="276" w:lineRule="auto"/>
      </w:pPr>
      <w:r>
        <w:rPr>
          <w:b w:val="0"/>
          <w:i w:val="0"/>
          <w:color w:val="333333"/>
          <w:sz w:val="22"/>
          <w:rFonts w:ascii="Arial" w:hAnsi="Arial" w:cs="Arial"/>
        </w:rPr>
        <w:t>Saubere Baustelle, klare Kommunikation, gepflegtes Auftreten: Der Kunde erlebt Qualität, bevor er sie technisch beurteilen kann.</w:t>
      </w:r>
    </w:p>
    <w:p>
      <w:pPr>
        <w:spacing w:after="160" w:before="0" w:line="276" w:lineRule="auto"/>
      </w:pPr>
      <w:r>
        <w:rPr>
          <w:b/>
          <w:i w:val="0"/>
          <w:color w:val="0A0A0A"/>
          <w:sz w:val="22"/>
          <w:rFonts w:ascii="Arial" w:hAnsi="Arial" w:cs="Arial"/>
        </w:rPr>
        <w:t xml:space="preserve">So setzen Sie es um: </w:t>
      </w:r>
      <w:r>
        <w:rPr>
          <w:b w:val="0"/>
          <w:i w:val="0"/>
          <w:color w:val="333333"/>
          <w:sz w:val="22"/>
          <w:rFonts w:ascii="Arial" w:hAnsi="Arial" w:cs="Arial"/>
        </w:rPr>
        <w:t>Standardisieren Sie Schutzmaßnahmen, Endreinigung und eine freundliche Übergabe als festen Teil der Leistung.</w:t>
      </w:r>
    </w:p>
    <w:p>
      <w:pPr>
        <w:pStyle w:val="Heading3"/>
      </w:pPr>
      <w:r>
        <w:rPr>
          <w:b/>
          <w:i w:val="0"/>
          <w:color w:val="0A0A0A"/>
          <w:sz w:val="22"/>
          <w:rFonts w:ascii="Arial" w:hAnsi="Arial" w:cs="Arial"/>
        </w:rPr>
        <w:t>Beratungstiefe  (+10 %)</w:t>
      </w:r>
    </w:p>
    <w:p>
      <w:pPr>
        <w:spacing w:after="40" w:before="0" w:line="276" w:lineRule="auto"/>
      </w:pPr>
      <w:r>
        <w:rPr>
          <w:b w:val="0"/>
          <w:i w:val="0"/>
          <w:color w:val="333333"/>
          <w:sz w:val="22"/>
          <w:rFonts w:ascii="Arial" w:hAnsi="Arial" w:cs="Arial"/>
        </w:rPr>
        <w:t>Eine echte Bedarfsanalyse statt Standardangebot: Der Kunde fühlt sich verstanden und kauft die passende, nicht die billigste Lösung.</w:t>
      </w:r>
    </w:p>
    <w:p>
      <w:pPr>
        <w:spacing w:after="160" w:before="0" w:line="276" w:lineRule="auto"/>
      </w:pPr>
      <w:r>
        <w:rPr>
          <w:b/>
          <w:i w:val="0"/>
          <w:color w:val="0A0A0A"/>
          <w:sz w:val="22"/>
          <w:rFonts w:ascii="Arial" w:hAnsi="Arial" w:cs="Arial"/>
        </w:rPr>
        <w:t xml:space="preserve">So setzen Sie es um: </w:t>
      </w:r>
      <w:r>
        <w:rPr>
          <w:b w:val="0"/>
          <w:i w:val="0"/>
          <w:color w:val="333333"/>
          <w:sz w:val="22"/>
          <w:rFonts w:ascii="Arial" w:hAnsi="Arial" w:cs="Arial"/>
        </w:rPr>
        <w:t>Nehmen Sie sich vor Ort bewusst Zeit für Fragen und dokumentieren Sie den ermittelten Bedarf im Angebot.</w:t>
      </w:r>
    </w:p>
    <w:tbl>
      <w:tblPr>
        <w:tblW w:type="auto" w:w="0"/>
        <w:jc w:val="center"/>
        <w:tblLook w:firstColumn="1" w:firstRow="1" w:lastColumn="0" w:lastRow="0" w:noHBand="0" w:noVBand="1" w:val="04A0"/>
        <w:tblBorders>
          <w:top w:val="none"/>
          <w:left w:val="none"/>
          <w:bottom w:val="none"/>
          <w:right w:val="none"/>
          <w:insideH w:val="none"/>
          <w:insideV w:val="none"/>
        </w:tblBorders>
      </w:tblPr>
      <w:tblGrid>
        <w:gridCol w:w="9746"/>
      </w:tblGrid>
      <w:tr>
        <w:tc>
          <w:tcPr>
            <w:tcW w:type="dxa" w:w="9746"/>
            <w:shd w:val="clear" w:fill="0A0A0A"/>
            <w:tcMar>
              <w:top w:w="140" w:type="dxa"/>
              <w:bottom w:w="140" w:type="dxa"/>
              <w:start w:w="160" w:type="dxa"/>
              <w:end w:w="160" w:type="dxa"/>
            </w:tcMar>
          </w:tcPr>
          <w:p>
            <w:pPr>
              <w:spacing w:after="60"/>
            </w:pPr>
            <w:r>
              <w:rPr>
                <w:b/>
                <w:i w:val="0"/>
                <w:color w:val="FBCE3C"/>
                <w:sz w:val="20"/>
                <w:rFonts w:ascii="Arial" w:hAnsi="Arial" w:cs="Arial"/>
              </w:rPr>
              <w:t>REALISTISCH BLEIBEN</w:t>
            </w:r>
          </w:p>
          <w:p>
            <w:pPr>
              <w:spacing w:after="0"/>
            </w:pPr>
            <w:r>
              <w:rPr>
                <w:b w:val="0"/>
                <w:i w:val="0"/>
                <w:color w:val="FFFFFF"/>
                <w:sz w:val="21"/>
                <w:rFonts w:ascii="Arial" w:hAnsi="Arial" w:cs="Arial"/>
              </w:rPr>
              <w:t>Eine typische Kombination aus zwei bis drei Hebeln ergibt 35 bis 45 % Aufschlag, genau der Korridor, den Top-Betriebe laut Branchenvergleich effektiv durchsetzen. Wählen Sie nur die Hebel, die Sie wirklich liefern: versprochene, aber nicht gehaltene Hebel zerstören Vertrauen.</w:t>
            </w:r>
          </w:p>
        </w:tc>
      </w:tr>
    </w:tbl>
    <w:p>
      <w:pPr>
        <w:spacing w:after="120"/>
      </w:pPr>
    </w:p>
    <w:p>
      <w:pPr>
        <w:pStyle w:val="Heading1"/>
      </w:pPr>
      <w:r>
        <w:rPr>
          <w:b/>
          <w:i w:val="0"/>
          <w:color w:val="0A0A0A"/>
          <w:sz w:val="32"/>
          <w:rFonts w:ascii="Arial" w:hAnsi="Arial" w:cs="Arial"/>
        </w:rPr>
        <w:t>6. In fünf Schritten zu Ihrem Festpreis-Paket</w:t>
      </w:r>
    </w:p>
    <w:p>
      <w:pPr>
        <w:spacing w:after="80" w:before="0" w:line="276" w:lineRule="auto"/>
      </w:pPr>
      <w:r>
        <w:rPr>
          <w:b/>
          <w:i w:val="0"/>
          <w:color w:val="0A0A0A"/>
          <w:sz w:val="22"/>
          <w:rFonts w:ascii="Arial" w:hAnsi="Arial" w:cs="Arial"/>
        </w:rPr>
        <w:t xml:space="preserve">Schritt 1: </w:t>
      </w:r>
      <w:r>
        <w:rPr>
          <w:b/>
          <w:i w:val="0"/>
          <w:color w:val="0A0A0A"/>
          <w:sz w:val="22"/>
          <w:rFonts w:ascii="Arial" w:hAnsi="Arial" w:cs="Arial"/>
        </w:rPr>
        <w:t>Auftragstyp wählen</w:t>
      </w:r>
    </w:p>
    <w:p>
      <w:pPr>
        <w:spacing w:after="160" w:before="0" w:line="276" w:lineRule="auto"/>
      </w:pPr>
      <w:r>
        <w:rPr>
          <w:b w:val="0"/>
          <w:i w:val="0"/>
          <w:color w:val="333333"/>
          <w:sz w:val="22"/>
          <w:rFonts w:ascii="Arial" w:hAnsi="Arial" w:cs="Arial"/>
        </w:rPr>
        <w:t>Für welche wiederkehrende Leistung bauen Sie ein Paket? (z. B. Wärmepumpe, Bad, Notdienst)</w:t>
      </w:r>
    </w:p>
    <w:p>
      <w:pPr>
        <w:spacing w:after="80" w:before="0" w:line="276" w:lineRule="auto"/>
      </w:pPr>
      <w:r>
        <w:rPr>
          <w:b/>
          <w:i w:val="0"/>
          <w:color w:val="0A0A0A"/>
          <w:sz w:val="22"/>
          <w:rFonts w:ascii="Arial" w:hAnsi="Arial" w:cs="Arial"/>
        </w:rPr>
        <w:t xml:space="preserve">Schritt 2: </w:t>
      </w:r>
      <w:r>
        <w:rPr>
          <w:b/>
          <w:i w:val="0"/>
          <w:color w:val="0A0A0A"/>
          <w:sz w:val="22"/>
          <w:rFonts w:ascii="Arial" w:hAnsi="Arial" w:cs="Arial"/>
        </w:rPr>
        <w:t>Selbstkosten ermitteln</w:t>
      </w:r>
    </w:p>
    <w:p>
      <w:pPr>
        <w:spacing w:after="160" w:before="0" w:line="276" w:lineRule="auto"/>
      </w:pPr>
      <w:r>
        <w:rPr>
          <w:b w:val="0"/>
          <w:i w:val="0"/>
          <w:color w:val="333333"/>
          <w:sz w:val="22"/>
          <w:rFonts w:ascii="Arial" w:hAnsi="Arial" w:cs="Arial"/>
        </w:rPr>
        <w:t>Material (Einkauf), Arbeitsstunden, Ihr Stundenverrechnungssatz, Materialaufschlag.</w:t>
      </w:r>
    </w:p>
    <w:p>
      <w:pPr>
        <w:spacing w:after="80" w:before="0" w:line="276" w:lineRule="auto"/>
      </w:pPr>
      <w:r>
        <w:rPr>
          <w:b/>
          <w:i w:val="0"/>
          <w:color w:val="0A0A0A"/>
          <w:sz w:val="22"/>
          <w:rFonts w:ascii="Arial" w:hAnsi="Arial" w:cs="Arial"/>
        </w:rPr>
        <w:t xml:space="preserve">Schritt 3: </w:t>
      </w:r>
      <w:r>
        <w:rPr>
          <w:b/>
          <w:i w:val="0"/>
          <w:color w:val="0A0A0A"/>
          <w:sz w:val="22"/>
          <w:rFonts w:ascii="Arial" w:hAnsi="Arial" w:cs="Arial"/>
        </w:rPr>
        <w:t>Wert-Hebel ankreuzen</w:t>
      </w:r>
    </w:p>
    <w:p>
      <w:pPr>
        <w:spacing w:after="160" w:before="0" w:line="276" w:lineRule="auto"/>
      </w:pPr>
      <w:r>
        <w:rPr>
          <w:b w:val="0"/>
          <w:i w:val="0"/>
          <w:color w:val="333333"/>
          <w:sz w:val="22"/>
          <w:rFonts w:ascii="Arial" w:hAnsi="Arial" w:cs="Arial"/>
        </w:rPr>
        <w:t>Welche der sieben Hebel liefern Sie bei diesem Auftrag wirklich?</w:t>
      </w:r>
    </w:p>
    <w:p>
      <w:pPr>
        <w:spacing w:after="80" w:before="0" w:line="276" w:lineRule="auto"/>
      </w:pPr>
      <w:r>
        <w:rPr>
          <w:b/>
          <w:i w:val="0"/>
          <w:color w:val="0A0A0A"/>
          <w:sz w:val="22"/>
          <w:rFonts w:ascii="Arial" w:hAnsi="Arial" w:cs="Arial"/>
        </w:rPr>
        <w:t xml:space="preserve">Schritt 4: </w:t>
      </w:r>
      <w:r>
        <w:rPr>
          <w:b/>
          <w:i w:val="0"/>
          <w:color w:val="0A0A0A"/>
          <w:sz w:val="22"/>
          <w:rFonts w:ascii="Arial" w:hAnsi="Arial" w:cs="Arial"/>
        </w:rPr>
        <w:t>Festpreis festlegen</w:t>
      </w:r>
    </w:p>
    <w:p>
      <w:pPr>
        <w:spacing w:after="160" w:before="0" w:line="276" w:lineRule="auto"/>
      </w:pPr>
      <w:r>
        <w:rPr>
          <w:b w:val="0"/>
          <w:i w:val="0"/>
          <w:color w:val="333333"/>
          <w:sz w:val="22"/>
          <w:rFonts w:ascii="Arial" w:hAnsi="Arial" w:cs="Arial"/>
        </w:rPr>
        <w:t>Übernehmen Sie die Empfehlung aus dem Wert-Rechner und runden Sie auf einen sauberen Betrag.</w:t>
      </w:r>
    </w:p>
    <w:p>
      <w:pPr>
        <w:spacing w:after="80" w:before="0" w:line="276" w:lineRule="auto"/>
      </w:pPr>
      <w:r>
        <w:rPr>
          <w:b/>
          <w:i w:val="0"/>
          <w:color w:val="0A0A0A"/>
          <w:sz w:val="22"/>
          <w:rFonts w:ascii="Arial" w:hAnsi="Arial" w:cs="Arial"/>
        </w:rPr>
        <w:t xml:space="preserve">Schritt 5: </w:t>
      </w:r>
      <w:r>
        <w:rPr>
          <w:b/>
          <w:i w:val="0"/>
          <w:color w:val="0A0A0A"/>
          <w:sz w:val="22"/>
          <w:rFonts w:ascii="Arial" w:hAnsi="Arial" w:cs="Arial"/>
        </w:rPr>
        <w:t>Als Paket benennen &amp; anbieten</w:t>
      </w:r>
    </w:p>
    <w:p>
      <w:pPr>
        <w:spacing w:after="160" w:before="0" w:line="276" w:lineRule="auto"/>
      </w:pPr>
      <w:r>
        <w:rPr>
          <w:b w:val="0"/>
          <w:i w:val="0"/>
          <w:color w:val="333333"/>
          <w:sz w:val="22"/>
          <w:rFonts w:ascii="Arial" w:hAnsi="Arial" w:cs="Arial"/>
        </w:rPr>
        <w:t>Geben Sie dem Paket einen Namen und listen Sie die enthaltenen Leistungen, nie den Stundensatz.</w:t>
      </w:r>
    </w:p>
    <w:p>
      <w:pPr>
        <w:pStyle w:val="Heading3"/>
      </w:pPr>
      <w:r>
        <w:rPr>
          <w:b/>
          <w:i w:val="0"/>
          <w:color w:val="0A0A0A"/>
          <w:sz w:val="22"/>
          <w:rFonts w:ascii="Arial" w:hAnsi="Arial" w:cs="Arial"/>
        </w:rPr>
        <w:t>Arbeitsblatt zum Ausfüllen</w:t>
      </w:r>
    </w:p>
    <w:tbl>
      <w:tblPr>
        <w:tblStyle w:val="TableGrid"/>
        <w:tblW w:type="auto" w:w="0"/>
        <w:jc w:val="center"/>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Pr>
      <w:tblGrid>
        <w:gridCol w:w="4873"/>
        <w:gridCol w:w="4873"/>
      </w:tblGrid>
      <w:tr>
        <w:tc>
          <w:tcPr>
            <w:tcW w:type="dxa" w:w="3969"/>
            <w:shd w:val="clear" w:fill="333333"/>
            <w:tcMar>
              <w:top w:w="80" w:type="dxa"/>
              <w:bottom w:w="80" w:type="dxa"/>
              <w:start w:w="120" w:type="dxa"/>
              <w:end w:w="120" w:type="dxa"/>
            </w:tcMar>
          </w:tcPr>
          <w:p>
            <w:pPr>
              <w:spacing w:after="0"/>
            </w:pPr>
            <w:r>
              <w:rPr>
                <w:b/>
                <w:i w:val="0"/>
                <w:color w:val="FFFFFF"/>
                <w:sz w:val="19"/>
                <w:rFonts w:ascii="Arial" w:hAnsi="Arial" w:cs="Arial"/>
              </w:rPr>
              <w:t>Feld</w:t>
            </w:r>
          </w:p>
        </w:tc>
        <w:tc>
          <w:tcPr>
            <w:tcW w:type="dxa" w:w="5102"/>
            <w:shd w:val="clear" w:fill="333333"/>
            <w:tcMar>
              <w:top w:w="80" w:type="dxa"/>
              <w:bottom w:w="80" w:type="dxa"/>
              <w:start w:w="120" w:type="dxa"/>
              <w:end w:w="120" w:type="dxa"/>
            </w:tcMar>
          </w:tcPr>
          <w:p>
            <w:pPr>
              <w:spacing w:after="0"/>
            </w:pPr>
            <w:r>
              <w:rPr>
                <w:b/>
                <w:i w:val="0"/>
                <w:color w:val="FFFFFF"/>
                <w:sz w:val="19"/>
                <w:rFonts w:ascii="Arial" w:hAnsi="Arial" w:cs="Arial"/>
              </w:rPr>
              <w:t>Ihr Eintrag</w:t>
            </w:r>
          </w:p>
        </w:tc>
      </w:tr>
      <w:tr>
        <w:tc>
          <w:tcPr>
            <w:tcW w:type="dxa" w:w="3969"/>
            <w:tcMar>
              <w:top w:w="80" w:type="dxa"/>
              <w:bottom w:w="80" w:type="dxa"/>
              <w:start w:w="120" w:type="dxa"/>
              <w:end w:w="120" w:type="dxa"/>
            </w:tcMar>
          </w:tcPr>
          <w:p>
            <w:pPr>
              <w:spacing w:after="0"/>
            </w:pPr>
            <w:r>
              <w:rPr>
                <w:b/>
                <w:i w:val="0"/>
                <w:color w:val="333333"/>
                <w:sz w:val="20"/>
                <w:rFonts w:ascii="Arial" w:hAnsi="Arial" w:cs="Arial"/>
              </w:rPr>
              <w:t>Auftragstyp</w:t>
            </w:r>
          </w:p>
        </w:tc>
        <w:tc>
          <w:tcPr>
            <w:tcW w:type="dxa" w:w="5102"/>
            <w:tcMar>
              <w:top w:w="80" w:type="dxa"/>
              <w:bottom w:w="80" w:type="dxa"/>
              <w:start w:w="120" w:type="dxa"/>
              <w:end w:w="120" w:type="dxa"/>
            </w:tcMar>
          </w:tcPr>
          <w:p>
            <w:pPr>
              <w:spacing w:after="0"/>
            </w:pPr>
            <w:r>
              <w:rPr>
                <w:b w:val="0"/>
                <w:i w:val="0"/>
                <w:color w:val="333333"/>
                <w:sz w:val="20"/>
                <w:rFonts w:ascii="Arial" w:hAnsi="Arial" w:cs="Arial"/>
              </w:rPr>
            </w:r>
          </w:p>
        </w:tc>
      </w:tr>
      <w:tr>
        <w:tc>
          <w:tcPr>
            <w:tcW w:type="dxa" w:w="3969"/>
            <w:tcMar>
              <w:top w:w="80" w:type="dxa"/>
              <w:bottom w:w="80" w:type="dxa"/>
              <w:start w:w="120" w:type="dxa"/>
              <w:end w:w="120" w:type="dxa"/>
            </w:tcMar>
          </w:tcPr>
          <w:p>
            <w:pPr>
              <w:spacing w:after="0"/>
            </w:pPr>
            <w:r>
              <w:rPr>
                <w:b/>
                <w:i w:val="0"/>
                <w:color w:val="333333"/>
                <w:sz w:val="20"/>
                <w:rFonts w:ascii="Arial" w:hAnsi="Arial" w:cs="Arial"/>
              </w:rPr>
              <w:t>Materialkosten (Einkauf, netto)</w:t>
            </w:r>
          </w:p>
        </w:tc>
        <w:tc>
          <w:tcPr>
            <w:tcW w:type="dxa" w:w="5102"/>
            <w:tcMar>
              <w:top w:w="80" w:type="dxa"/>
              <w:bottom w:w="80" w:type="dxa"/>
              <w:start w:w="120" w:type="dxa"/>
              <w:end w:w="120" w:type="dxa"/>
            </w:tcMar>
          </w:tcPr>
          <w:p>
            <w:pPr>
              <w:spacing w:after="0"/>
            </w:pPr>
            <w:r>
              <w:rPr>
                <w:b w:val="0"/>
                <w:i w:val="0"/>
                <w:color w:val="333333"/>
                <w:sz w:val="20"/>
                <w:rFonts w:ascii="Arial" w:hAnsi="Arial" w:cs="Arial"/>
              </w:rPr>
            </w:r>
          </w:p>
        </w:tc>
      </w:tr>
      <w:tr>
        <w:tc>
          <w:tcPr>
            <w:tcW w:type="dxa" w:w="3969"/>
            <w:tcMar>
              <w:top w:w="80" w:type="dxa"/>
              <w:bottom w:w="80" w:type="dxa"/>
              <w:start w:w="120" w:type="dxa"/>
              <w:end w:w="120" w:type="dxa"/>
            </w:tcMar>
          </w:tcPr>
          <w:p>
            <w:pPr>
              <w:spacing w:after="0"/>
            </w:pPr>
            <w:r>
              <w:rPr>
                <w:b/>
                <w:i w:val="0"/>
                <w:color w:val="333333"/>
                <w:sz w:val="20"/>
                <w:rFonts w:ascii="Arial" w:hAnsi="Arial" w:cs="Arial"/>
              </w:rPr>
              <w:t>Arbeitsstunden</w:t>
            </w:r>
          </w:p>
        </w:tc>
        <w:tc>
          <w:tcPr>
            <w:tcW w:type="dxa" w:w="5102"/>
            <w:tcMar>
              <w:top w:w="80" w:type="dxa"/>
              <w:bottom w:w="80" w:type="dxa"/>
              <w:start w:w="120" w:type="dxa"/>
              <w:end w:w="120" w:type="dxa"/>
            </w:tcMar>
          </w:tcPr>
          <w:p>
            <w:pPr>
              <w:spacing w:after="0"/>
            </w:pPr>
            <w:r>
              <w:rPr>
                <w:b w:val="0"/>
                <w:i w:val="0"/>
                <w:color w:val="333333"/>
                <w:sz w:val="20"/>
                <w:rFonts w:ascii="Arial" w:hAnsi="Arial" w:cs="Arial"/>
              </w:rPr>
            </w:r>
          </w:p>
        </w:tc>
      </w:tr>
      <w:tr>
        <w:tc>
          <w:tcPr>
            <w:tcW w:type="dxa" w:w="3969"/>
            <w:tcMar>
              <w:top w:w="80" w:type="dxa"/>
              <w:bottom w:w="80" w:type="dxa"/>
              <w:start w:w="120" w:type="dxa"/>
              <w:end w:w="120" w:type="dxa"/>
            </w:tcMar>
          </w:tcPr>
          <w:p>
            <w:pPr>
              <w:spacing w:after="0"/>
            </w:pPr>
            <w:r>
              <w:rPr>
                <w:b/>
                <w:i w:val="0"/>
                <w:color w:val="333333"/>
                <w:sz w:val="20"/>
                <w:rFonts w:ascii="Arial" w:hAnsi="Arial" w:cs="Arial"/>
              </w:rPr>
              <w:t>Stundenverrechnungssatz</w:t>
            </w:r>
          </w:p>
        </w:tc>
        <w:tc>
          <w:tcPr>
            <w:tcW w:type="dxa" w:w="5102"/>
            <w:tcMar>
              <w:top w:w="80" w:type="dxa"/>
              <w:bottom w:w="80" w:type="dxa"/>
              <w:start w:w="120" w:type="dxa"/>
              <w:end w:w="120" w:type="dxa"/>
            </w:tcMar>
          </w:tcPr>
          <w:p>
            <w:pPr>
              <w:spacing w:after="0"/>
            </w:pPr>
            <w:r>
              <w:rPr>
                <w:b w:val="0"/>
                <w:i w:val="0"/>
                <w:color w:val="333333"/>
                <w:sz w:val="20"/>
                <w:rFonts w:ascii="Arial" w:hAnsi="Arial" w:cs="Arial"/>
              </w:rPr>
            </w:r>
          </w:p>
        </w:tc>
      </w:tr>
      <w:tr>
        <w:tc>
          <w:tcPr>
            <w:tcW w:type="dxa" w:w="3969"/>
            <w:tcMar>
              <w:top w:w="80" w:type="dxa"/>
              <w:bottom w:w="80" w:type="dxa"/>
              <w:start w:w="120" w:type="dxa"/>
              <w:end w:w="120" w:type="dxa"/>
            </w:tcMar>
          </w:tcPr>
          <w:p>
            <w:pPr>
              <w:spacing w:after="0"/>
            </w:pPr>
            <w:r>
              <w:rPr>
                <w:b/>
                <w:i w:val="0"/>
                <w:color w:val="333333"/>
                <w:sz w:val="20"/>
                <w:rFonts w:ascii="Arial" w:hAnsi="Arial" w:cs="Arial"/>
              </w:rPr>
              <w:t>Materialaufschlag</w:t>
            </w:r>
          </w:p>
        </w:tc>
        <w:tc>
          <w:tcPr>
            <w:tcW w:type="dxa" w:w="5102"/>
            <w:tcMar>
              <w:top w:w="80" w:type="dxa"/>
              <w:bottom w:w="80" w:type="dxa"/>
              <w:start w:w="120" w:type="dxa"/>
              <w:end w:w="120" w:type="dxa"/>
            </w:tcMar>
          </w:tcPr>
          <w:p>
            <w:pPr>
              <w:spacing w:after="0"/>
            </w:pPr>
            <w:r>
              <w:rPr>
                <w:b w:val="0"/>
                <w:i w:val="0"/>
                <w:color w:val="333333"/>
                <w:sz w:val="20"/>
                <w:rFonts w:ascii="Arial" w:hAnsi="Arial" w:cs="Arial"/>
              </w:rPr>
            </w:r>
          </w:p>
        </w:tc>
      </w:tr>
      <w:tr>
        <w:tc>
          <w:tcPr>
            <w:tcW w:type="dxa" w:w="3969"/>
            <w:tcMar>
              <w:top w:w="80" w:type="dxa"/>
              <w:bottom w:w="80" w:type="dxa"/>
              <w:start w:w="120" w:type="dxa"/>
              <w:end w:w="120" w:type="dxa"/>
            </w:tcMar>
          </w:tcPr>
          <w:p>
            <w:pPr>
              <w:spacing w:after="0"/>
            </w:pPr>
            <w:r>
              <w:rPr>
                <w:b/>
                <w:i w:val="0"/>
                <w:color w:val="333333"/>
                <w:sz w:val="20"/>
                <w:rFonts w:ascii="Arial" w:hAnsi="Arial" w:cs="Arial"/>
              </w:rPr>
              <w:t>Gewählte Wert-Hebel</w:t>
            </w:r>
          </w:p>
        </w:tc>
        <w:tc>
          <w:tcPr>
            <w:tcW w:type="dxa" w:w="5102"/>
            <w:tcMar>
              <w:top w:w="80" w:type="dxa"/>
              <w:bottom w:w="80" w:type="dxa"/>
              <w:start w:w="120" w:type="dxa"/>
              <w:end w:w="120" w:type="dxa"/>
            </w:tcMar>
          </w:tcPr>
          <w:p>
            <w:pPr>
              <w:spacing w:after="0"/>
            </w:pPr>
            <w:r>
              <w:rPr>
                <w:b w:val="0"/>
                <w:i w:val="0"/>
                <w:color w:val="333333"/>
                <w:sz w:val="20"/>
                <w:rFonts w:ascii="Arial" w:hAnsi="Arial" w:cs="Arial"/>
              </w:rPr>
            </w:r>
          </w:p>
        </w:tc>
      </w:tr>
      <w:tr>
        <w:tc>
          <w:tcPr>
            <w:tcW w:type="dxa" w:w="3969"/>
            <w:tcMar>
              <w:top w:w="80" w:type="dxa"/>
              <w:bottom w:w="80" w:type="dxa"/>
              <w:start w:w="120" w:type="dxa"/>
              <w:end w:w="120" w:type="dxa"/>
            </w:tcMar>
          </w:tcPr>
          <w:p>
            <w:pPr>
              <w:spacing w:after="0"/>
            </w:pPr>
            <w:r>
              <w:rPr>
                <w:b/>
                <w:i w:val="0"/>
                <w:color w:val="333333"/>
                <w:sz w:val="20"/>
                <w:rFonts w:ascii="Arial" w:hAnsi="Arial" w:cs="Arial"/>
              </w:rPr>
              <w:t>Empfohlener Festpreis (aus Rechner)</w:t>
            </w:r>
          </w:p>
        </w:tc>
        <w:tc>
          <w:tcPr>
            <w:tcW w:type="dxa" w:w="5102"/>
            <w:tcMar>
              <w:top w:w="80" w:type="dxa"/>
              <w:bottom w:w="80" w:type="dxa"/>
              <w:start w:w="120" w:type="dxa"/>
              <w:end w:w="120" w:type="dxa"/>
            </w:tcMar>
          </w:tcPr>
          <w:p>
            <w:pPr>
              <w:spacing w:after="0"/>
            </w:pPr>
            <w:r>
              <w:rPr>
                <w:b w:val="0"/>
                <w:i w:val="0"/>
                <w:color w:val="333333"/>
                <w:sz w:val="20"/>
                <w:rFonts w:ascii="Arial" w:hAnsi="Arial" w:cs="Arial"/>
              </w:rPr>
            </w:r>
          </w:p>
        </w:tc>
      </w:tr>
      <w:tr>
        <w:tc>
          <w:tcPr>
            <w:tcW w:type="dxa" w:w="3969"/>
            <w:tcMar>
              <w:top w:w="80" w:type="dxa"/>
              <w:bottom w:w="80" w:type="dxa"/>
              <w:start w:w="120" w:type="dxa"/>
              <w:end w:w="120" w:type="dxa"/>
            </w:tcMar>
          </w:tcPr>
          <w:p>
            <w:pPr>
              <w:spacing w:after="0"/>
            </w:pPr>
            <w:r>
              <w:rPr>
                <w:b/>
                <w:i w:val="0"/>
                <w:color w:val="333333"/>
                <w:sz w:val="20"/>
                <w:rFonts w:ascii="Arial" w:hAnsi="Arial" w:cs="Arial"/>
              </w:rPr>
              <w:t>Paketname</w:t>
            </w:r>
          </w:p>
        </w:tc>
        <w:tc>
          <w:tcPr>
            <w:tcW w:type="dxa" w:w="5102"/>
            <w:tcMar>
              <w:top w:w="80" w:type="dxa"/>
              <w:bottom w:w="80" w:type="dxa"/>
              <w:start w:w="120" w:type="dxa"/>
              <w:end w:w="120" w:type="dxa"/>
            </w:tcMar>
          </w:tcPr>
          <w:p>
            <w:pPr>
              <w:spacing w:after="0"/>
            </w:pPr>
            <w:r>
              <w:rPr>
                <w:b w:val="0"/>
                <w:i w:val="0"/>
                <w:color w:val="333333"/>
                <w:sz w:val="20"/>
                <w:rFonts w:ascii="Arial" w:hAnsi="Arial" w:cs="Arial"/>
              </w:rPr>
            </w:r>
          </w:p>
        </w:tc>
      </w:tr>
      <w:tr>
        <w:tc>
          <w:tcPr>
            <w:tcW w:type="dxa" w:w="3969"/>
            <w:tcMar>
              <w:top w:w="80" w:type="dxa"/>
              <w:bottom w:w="80" w:type="dxa"/>
              <w:start w:w="120" w:type="dxa"/>
              <w:end w:w="120" w:type="dxa"/>
            </w:tcMar>
          </w:tcPr>
          <w:p>
            <w:pPr>
              <w:spacing w:after="0"/>
            </w:pPr>
            <w:r>
              <w:rPr>
                <w:b/>
                <w:i w:val="0"/>
                <w:color w:val="333333"/>
                <w:sz w:val="20"/>
                <w:rFonts w:ascii="Arial" w:hAnsi="Arial" w:cs="Arial"/>
              </w:rPr>
              <w:t>Enthaltene Leistungen</w:t>
            </w:r>
          </w:p>
        </w:tc>
        <w:tc>
          <w:tcPr>
            <w:tcW w:type="dxa" w:w="5102"/>
            <w:tcMar>
              <w:top w:w="80" w:type="dxa"/>
              <w:bottom w:w="80" w:type="dxa"/>
              <w:start w:w="120" w:type="dxa"/>
              <w:end w:w="120" w:type="dxa"/>
            </w:tcMar>
          </w:tcPr>
          <w:p>
            <w:pPr>
              <w:spacing w:after="0"/>
            </w:pPr>
            <w:r>
              <w:rPr>
                <w:b w:val="0"/>
                <w:i w:val="0"/>
                <w:color w:val="333333"/>
                <w:sz w:val="20"/>
                <w:rFonts w:ascii="Arial" w:hAnsi="Arial" w:cs="Arial"/>
              </w:rPr>
            </w:r>
          </w:p>
        </w:tc>
      </w:tr>
    </w:tbl>
    <w:p>
      <w:pPr>
        <w:spacing w:after="120"/>
      </w:pPr>
    </w:p>
    <w:p>
      <w:pPr>
        <w:pStyle w:val="Heading1"/>
      </w:pPr>
      <w:r>
        <w:rPr>
          <w:b/>
          <w:i w:val="0"/>
          <w:color w:val="0A0A0A"/>
          <w:sz w:val="32"/>
          <w:rFonts w:ascii="Arial" w:hAnsi="Arial" w:cs="Arial"/>
        </w:rPr>
        <w:t>7. Fünf fertige Paket-Vorlagen</w:t>
      </w:r>
    </w:p>
    <w:p>
      <w:pPr>
        <w:spacing w:after="120" w:before="0" w:line="276" w:lineRule="auto"/>
      </w:pPr>
      <w:r>
        <w:rPr>
          <w:b w:val="0"/>
          <w:i w:val="0"/>
          <w:color w:val="333333"/>
          <w:sz w:val="22"/>
          <w:rFonts w:ascii="Arial" w:hAnsi="Arial" w:cs="Arial"/>
        </w:rPr>
        <w:t>Diese Vorlagen zeigen die Methode an konkreten SHK-Beispielen (Branchenvergleichs-Annahmen). Die Zahlen stammen aus dem Wert-Rechner und sind als Ausgangspunkt gedacht. Passen Sie sie an Ihren Betrieb und Markt an.</w:t>
      </w:r>
    </w:p>
    <w:p>
      <w:pPr>
        <w:pStyle w:val="Heading3"/>
      </w:pPr>
      <w:r>
        <w:rPr>
          <w:b/>
          <w:i w:val="0"/>
          <w:color w:val="0A0A0A"/>
          <w:sz w:val="22"/>
          <w:rFonts w:ascii="Arial" w:hAnsi="Arial" w:cs="Arial"/>
        </w:rPr>
        <w:t>Festpreis-Wärmepumpe</w:t>
      </w:r>
    </w:p>
    <w:p>
      <w:pPr>
        <w:spacing w:after="40" w:before="0" w:line="276" w:lineRule="auto"/>
      </w:pPr>
      <w:r>
        <w:rPr>
          <w:b/>
          <w:i w:val="0"/>
          <w:color w:val="0A0A0A"/>
          <w:sz w:val="22"/>
          <w:rFonts w:ascii="Arial" w:hAnsi="Arial" w:cs="Arial"/>
        </w:rPr>
        <w:t xml:space="preserve">Paketname: </w:t>
      </w:r>
      <w:r>
        <w:rPr>
          <w:b w:val="0"/>
          <w:i w:val="0"/>
          <w:color w:val="333333"/>
          <w:sz w:val="22"/>
          <w:rFonts w:ascii="Arial" w:hAnsi="Arial" w:cs="Arial"/>
        </w:rPr>
        <w:t>„Festpreis-Wärmepumpe rundum sorglos“</w:t>
      </w:r>
    </w:p>
    <w:p>
      <w:pPr>
        <w:spacing w:after="80" w:before="0" w:line="276" w:lineRule="auto"/>
      </w:pPr>
      <w:r>
        <w:rPr>
          <w:b/>
          <w:i w:val="0"/>
          <w:color w:val="0A0A0A"/>
          <w:sz w:val="22"/>
          <w:rFonts w:ascii="Arial" w:hAnsi="Arial" w:cs="Arial"/>
        </w:rPr>
        <w:t xml:space="preserve">Enthalten: </w:t>
      </w:r>
      <w:r>
        <w:rPr>
          <w:b w:val="0"/>
          <w:i w:val="0"/>
          <w:color w:val="333333"/>
          <w:sz w:val="22"/>
          <w:rFonts w:ascii="Arial" w:hAnsi="Arial" w:cs="Arial"/>
        </w:rPr>
        <w:t>Vor-Ort-Analyse, Auslegung, Gerät, Montage, Inbetriebnahme, Unterstützung beim Förderantrag, 5 Jahre Garantie</w:t>
      </w:r>
    </w:p>
    <w:tbl>
      <w:tblPr>
        <w:tblStyle w:val="TableGrid"/>
        <w:tblW w:type="auto" w:w="0"/>
        <w:jc w:val="center"/>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Pr>
      <w:tblGrid>
        <w:gridCol w:w="1949"/>
        <w:gridCol w:w="1949"/>
        <w:gridCol w:w="1949"/>
        <w:gridCol w:w="1949"/>
        <w:gridCol w:w="1949"/>
      </w:tblGrid>
      <w:tr>
        <w:tc>
          <w:tcPr>
            <w:tcW w:type="dxa" w:w="2041"/>
            <w:shd w:val="clear" w:fill="333333"/>
            <w:tcMar>
              <w:top w:w="80" w:type="dxa"/>
              <w:bottom w:w="80" w:type="dxa"/>
              <w:start w:w="120" w:type="dxa"/>
              <w:end w:w="120" w:type="dxa"/>
            </w:tcMar>
          </w:tcPr>
          <w:p>
            <w:pPr>
              <w:spacing w:after="0"/>
            </w:pPr>
            <w:r>
              <w:rPr>
                <w:b/>
                <w:i w:val="0"/>
                <w:color w:val="FFFFFF"/>
                <w:sz w:val="19"/>
                <w:rFonts w:ascii="Arial" w:hAnsi="Arial" w:cs="Arial"/>
              </w:rPr>
              <w:t>Angebotspreis (klassisch)</w:t>
            </w:r>
          </w:p>
        </w:tc>
        <w:tc>
          <w:tcPr>
            <w:tcW w:type="dxa" w:w="1814"/>
            <w:shd w:val="clear" w:fill="333333"/>
            <w:tcMar>
              <w:top w:w="80" w:type="dxa"/>
              <w:bottom w:w="80" w:type="dxa"/>
              <w:start w:w="120" w:type="dxa"/>
              <w:end w:w="120" w:type="dxa"/>
            </w:tcMar>
          </w:tcPr>
          <w:p>
            <w:pPr>
              <w:spacing w:after="0"/>
            </w:pPr>
            <w:r>
              <w:rPr>
                <w:b/>
                <w:i w:val="0"/>
                <w:color w:val="FFFFFF"/>
                <w:sz w:val="19"/>
                <w:rFonts w:ascii="Arial" w:hAnsi="Arial" w:cs="Arial"/>
              </w:rPr>
              <w:t>Festpreis-Paket</w:t>
            </w:r>
          </w:p>
        </w:tc>
        <w:tc>
          <w:tcPr>
            <w:tcW w:type="dxa" w:w="1701"/>
            <w:shd w:val="clear" w:fill="333333"/>
            <w:tcMar>
              <w:top w:w="80" w:type="dxa"/>
              <w:bottom w:w="80" w:type="dxa"/>
              <w:start w:w="120" w:type="dxa"/>
              <w:end w:w="120" w:type="dxa"/>
            </w:tcMar>
          </w:tcPr>
          <w:p>
            <w:pPr>
              <w:spacing w:after="0"/>
            </w:pPr>
            <w:r>
              <w:rPr>
                <w:b/>
                <w:i w:val="0"/>
                <w:color w:val="FFFFFF"/>
                <w:sz w:val="19"/>
                <w:rFonts w:ascii="Arial" w:hAnsi="Arial" w:cs="Arial"/>
              </w:rPr>
              <w:t>Eff. Satz</w:t>
            </w:r>
          </w:p>
        </w:tc>
        <w:tc>
          <w:tcPr>
            <w:tcW w:type="dxa" w:w="1814"/>
            <w:shd w:val="clear" w:fill="333333"/>
            <w:tcMar>
              <w:top w:w="80" w:type="dxa"/>
              <w:bottom w:w="80" w:type="dxa"/>
              <w:start w:w="120" w:type="dxa"/>
              <w:end w:w="120" w:type="dxa"/>
            </w:tcMar>
          </w:tcPr>
          <w:p>
            <w:pPr>
              <w:spacing w:after="0"/>
            </w:pPr>
            <w:r>
              <w:rPr>
                <w:b/>
                <w:i w:val="0"/>
                <w:color w:val="FFFFFF"/>
                <w:sz w:val="19"/>
                <w:rFonts w:ascii="Arial" w:hAnsi="Arial" w:cs="Arial"/>
              </w:rPr>
              <w:t>Mehrerlös/Auftrag</w:t>
            </w:r>
          </w:p>
        </w:tc>
        <w:tc>
          <w:tcPr>
            <w:tcW w:type="dxa" w:w="1701"/>
            <w:shd w:val="clear" w:fill="333333"/>
            <w:tcMar>
              <w:top w:w="80" w:type="dxa"/>
              <w:bottom w:w="80" w:type="dxa"/>
              <w:start w:w="120" w:type="dxa"/>
              <w:end w:w="120" w:type="dxa"/>
            </w:tcMar>
          </w:tcPr>
          <w:p>
            <w:pPr>
              <w:spacing w:after="0"/>
            </w:pPr>
            <w:r>
              <w:rPr>
                <w:b/>
                <w:i w:val="0"/>
                <w:color w:val="FFFFFF"/>
                <w:sz w:val="19"/>
                <w:rFonts w:ascii="Arial" w:hAnsi="Arial" w:cs="Arial"/>
              </w:rPr>
              <w:t>Mehrerlös/Jahr</w:t>
            </w:r>
          </w:p>
        </w:tc>
      </w:tr>
      <w:tr>
        <w:tc>
          <w:tcPr>
            <w:tcW w:type="dxa" w:w="2041"/>
            <w:tcMar>
              <w:top w:w="80" w:type="dxa"/>
              <w:bottom w:w="80" w:type="dxa"/>
              <w:start w:w="120" w:type="dxa"/>
              <w:end w:w="120" w:type="dxa"/>
            </w:tcMar>
          </w:tcPr>
          <w:p>
            <w:pPr>
              <w:spacing w:after="0"/>
            </w:pPr>
            <w:r>
              <w:rPr>
                <w:b/>
                <w:i w:val="0"/>
                <w:color w:val="333333"/>
                <w:sz w:val="20"/>
                <w:rFonts w:ascii="Arial" w:hAnsi="Arial" w:cs="Arial"/>
              </w:rPr>
              <w:t>18980 €</w:t>
            </w:r>
          </w:p>
        </w:tc>
        <w:tc>
          <w:tcPr>
            <w:tcW w:type="dxa" w:w="1814"/>
            <w:tcMar>
              <w:top w:w="80" w:type="dxa"/>
              <w:bottom w:w="80" w:type="dxa"/>
              <w:start w:w="120" w:type="dxa"/>
              <w:end w:w="120" w:type="dxa"/>
            </w:tcMar>
          </w:tcPr>
          <w:p>
            <w:pPr>
              <w:spacing w:after="0"/>
            </w:pPr>
            <w:r>
              <w:rPr>
                <w:b w:val="0"/>
                <w:i w:val="0"/>
                <w:color w:val="333333"/>
                <w:sz w:val="20"/>
                <w:rFonts w:ascii="Arial" w:hAnsi="Arial" w:cs="Arial"/>
              </w:rPr>
              <w:t>26570 €</w:t>
            </w:r>
          </w:p>
        </w:tc>
        <w:tc>
          <w:tcPr>
            <w:tcW w:type="dxa" w:w="1701"/>
            <w:tcMar>
              <w:top w:w="80" w:type="dxa"/>
              <w:bottom w:w="80" w:type="dxa"/>
              <w:start w:w="120" w:type="dxa"/>
              <w:end w:w="120" w:type="dxa"/>
            </w:tcMar>
          </w:tcPr>
          <w:p>
            <w:pPr>
              <w:spacing w:after="0"/>
            </w:pPr>
            <w:r>
              <w:rPr>
                <w:b w:val="0"/>
                <w:i w:val="0"/>
                <w:color w:val="333333"/>
                <w:sz w:val="20"/>
                <w:rFonts w:ascii="Arial" w:hAnsi="Arial" w:cs="Arial"/>
              </w:rPr>
              <w:t>64 → 233 €</w:t>
            </w:r>
          </w:p>
        </w:tc>
        <w:tc>
          <w:tcPr>
            <w:tcW w:type="dxa" w:w="1814"/>
            <w:tcMar>
              <w:top w:w="80" w:type="dxa"/>
              <w:bottom w:w="80" w:type="dxa"/>
              <w:start w:w="120" w:type="dxa"/>
              <w:end w:w="120" w:type="dxa"/>
            </w:tcMar>
          </w:tcPr>
          <w:p>
            <w:pPr>
              <w:spacing w:after="0"/>
            </w:pPr>
            <w:r>
              <w:rPr>
                <w:b w:val="0"/>
                <w:i w:val="0"/>
                <w:color w:val="333333"/>
                <w:sz w:val="20"/>
                <w:rFonts w:ascii="Arial" w:hAnsi="Arial" w:cs="Arial"/>
              </w:rPr>
              <w:t>7590 €</w:t>
            </w:r>
          </w:p>
        </w:tc>
        <w:tc>
          <w:tcPr>
            <w:tcW w:type="dxa" w:w="1701"/>
            <w:tcMar>
              <w:top w:w="80" w:type="dxa"/>
              <w:bottom w:w="80" w:type="dxa"/>
              <w:start w:w="120" w:type="dxa"/>
              <w:end w:w="120" w:type="dxa"/>
            </w:tcMar>
          </w:tcPr>
          <w:p>
            <w:pPr>
              <w:spacing w:after="0"/>
            </w:pPr>
            <w:r>
              <w:rPr>
                <w:b w:val="0"/>
                <w:i w:val="0"/>
                <w:color w:val="333333"/>
                <w:sz w:val="20"/>
                <w:rFonts w:ascii="Arial" w:hAnsi="Arial" w:cs="Arial"/>
              </w:rPr>
              <w:t>151800 €</w:t>
            </w:r>
          </w:p>
        </w:tc>
      </w:tr>
    </w:tbl>
    <w:p>
      <w:pPr>
        <w:spacing w:after="120"/>
      </w:pPr>
    </w:p>
    <w:p>
      <w:pPr>
        <w:pStyle w:val="Heading3"/>
      </w:pPr>
      <w:r>
        <w:rPr>
          <w:b/>
          <w:i w:val="0"/>
          <w:color w:val="0A0A0A"/>
          <w:sz w:val="22"/>
          <w:rFonts w:ascii="Arial" w:hAnsi="Arial" w:cs="Arial"/>
        </w:rPr>
        <w:t>Sorglos-Bad komplett</w:t>
      </w:r>
    </w:p>
    <w:p>
      <w:pPr>
        <w:spacing w:after="40" w:before="0" w:line="276" w:lineRule="auto"/>
      </w:pPr>
      <w:r>
        <w:rPr>
          <w:b/>
          <w:i w:val="0"/>
          <w:color w:val="0A0A0A"/>
          <w:sz w:val="22"/>
          <w:rFonts w:ascii="Arial" w:hAnsi="Arial" w:cs="Arial"/>
        </w:rPr>
        <w:t xml:space="preserve">Paketname: </w:t>
      </w:r>
      <w:r>
        <w:rPr>
          <w:b w:val="0"/>
          <w:i w:val="0"/>
          <w:color w:val="333333"/>
          <w:sz w:val="22"/>
          <w:rFonts w:ascii="Arial" w:hAnsi="Arial" w:cs="Arial"/>
        </w:rPr>
        <w:t>„Sorglos-Bad, von der Idee bis zur Übergabe“</w:t>
      </w:r>
    </w:p>
    <w:p>
      <w:pPr>
        <w:spacing w:after="80" w:before="0" w:line="276" w:lineRule="auto"/>
      </w:pPr>
      <w:r>
        <w:rPr>
          <w:b/>
          <w:i w:val="0"/>
          <w:color w:val="0A0A0A"/>
          <w:sz w:val="22"/>
          <w:rFonts w:ascii="Arial" w:hAnsi="Arial" w:cs="Arial"/>
        </w:rPr>
        <w:t xml:space="preserve">Enthalten: </w:t>
      </w:r>
      <w:r>
        <w:rPr>
          <w:b w:val="0"/>
          <w:i w:val="0"/>
          <w:color w:val="333333"/>
          <w:sz w:val="22"/>
          <w:rFonts w:ascii="Arial" w:hAnsi="Arial" w:cs="Arial"/>
        </w:rPr>
        <w:t>Planung, 3D-Entwurf, Demontage, alle Gewerke koordiniert, Material, Entsorgung, Endreinigung</w:t>
      </w:r>
    </w:p>
    <w:tbl>
      <w:tblPr>
        <w:tblStyle w:val="TableGrid"/>
        <w:tblW w:type="auto" w:w="0"/>
        <w:jc w:val="center"/>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Pr>
      <w:tblGrid>
        <w:gridCol w:w="1949"/>
        <w:gridCol w:w="1949"/>
        <w:gridCol w:w="1949"/>
        <w:gridCol w:w="1949"/>
        <w:gridCol w:w="1949"/>
      </w:tblGrid>
      <w:tr>
        <w:tc>
          <w:tcPr>
            <w:tcW w:type="dxa" w:w="2041"/>
            <w:shd w:val="clear" w:fill="333333"/>
            <w:tcMar>
              <w:top w:w="80" w:type="dxa"/>
              <w:bottom w:w="80" w:type="dxa"/>
              <w:start w:w="120" w:type="dxa"/>
              <w:end w:w="120" w:type="dxa"/>
            </w:tcMar>
          </w:tcPr>
          <w:p>
            <w:pPr>
              <w:spacing w:after="0"/>
            </w:pPr>
            <w:r>
              <w:rPr>
                <w:b/>
                <w:i w:val="0"/>
                <w:color w:val="FFFFFF"/>
                <w:sz w:val="19"/>
                <w:rFonts w:ascii="Arial" w:hAnsi="Arial" w:cs="Arial"/>
              </w:rPr>
              <w:t>Angebotspreis (klassisch)</w:t>
            </w:r>
          </w:p>
        </w:tc>
        <w:tc>
          <w:tcPr>
            <w:tcW w:type="dxa" w:w="1814"/>
            <w:shd w:val="clear" w:fill="333333"/>
            <w:tcMar>
              <w:top w:w="80" w:type="dxa"/>
              <w:bottom w:w="80" w:type="dxa"/>
              <w:start w:w="120" w:type="dxa"/>
              <w:end w:w="120" w:type="dxa"/>
            </w:tcMar>
          </w:tcPr>
          <w:p>
            <w:pPr>
              <w:spacing w:after="0"/>
            </w:pPr>
            <w:r>
              <w:rPr>
                <w:b/>
                <w:i w:val="0"/>
                <w:color w:val="FFFFFF"/>
                <w:sz w:val="19"/>
                <w:rFonts w:ascii="Arial" w:hAnsi="Arial" w:cs="Arial"/>
              </w:rPr>
              <w:t>Festpreis-Paket</w:t>
            </w:r>
          </w:p>
        </w:tc>
        <w:tc>
          <w:tcPr>
            <w:tcW w:type="dxa" w:w="1701"/>
            <w:shd w:val="clear" w:fill="333333"/>
            <w:tcMar>
              <w:top w:w="80" w:type="dxa"/>
              <w:bottom w:w="80" w:type="dxa"/>
              <w:start w:w="120" w:type="dxa"/>
              <w:end w:w="120" w:type="dxa"/>
            </w:tcMar>
          </w:tcPr>
          <w:p>
            <w:pPr>
              <w:spacing w:after="0"/>
            </w:pPr>
            <w:r>
              <w:rPr>
                <w:b/>
                <w:i w:val="0"/>
                <w:color w:val="FFFFFF"/>
                <w:sz w:val="19"/>
                <w:rFonts w:ascii="Arial" w:hAnsi="Arial" w:cs="Arial"/>
              </w:rPr>
              <w:t>Eff. Satz</w:t>
            </w:r>
          </w:p>
        </w:tc>
        <w:tc>
          <w:tcPr>
            <w:tcW w:type="dxa" w:w="1814"/>
            <w:shd w:val="clear" w:fill="333333"/>
            <w:tcMar>
              <w:top w:w="80" w:type="dxa"/>
              <w:bottom w:w="80" w:type="dxa"/>
              <w:start w:w="120" w:type="dxa"/>
              <w:end w:w="120" w:type="dxa"/>
            </w:tcMar>
          </w:tcPr>
          <w:p>
            <w:pPr>
              <w:spacing w:after="0"/>
            </w:pPr>
            <w:r>
              <w:rPr>
                <w:b/>
                <w:i w:val="0"/>
                <w:color w:val="FFFFFF"/>
                <w:sz w:val="19"/>
                <w:rFonts w:ascii="Arial" w:hAnsi="Arial" w:cs="Arial"/>
              </w:rPr>
              <w:t>Mehrerlös/Auftrag</w:t>
            </w:r>
          </w:p>
        </w:tc>
        <w:tc>
          <w:tcPr>
            <w:tcW w:type="dxa" w:w="1701"/>
            <w:shd w:val="clear" w:fill="333333"/>
            <w:tcMar>
              <w:top w:w="80" w:type="dxa"/>
              <w:bottom w:w="80" w:type="dxa"/>
              <w:start w:w="120" w:type="dxa"/>
              <w:end w:w="120" w:type="dxa"/>
            </w:tcMar>
          </w:tcPr>
          <w:p>
            <w:pPr>
              <w:spacing w:after="0"/>
            </w:pPr>
            <w:r>
              <w:rPr>
                <w:b/>
                <w:i w:val="0"/>
                <w:color w:val="FFFFFF"/>
                <w:sz w:val="19"/>
                <w:rFonts w:ascii="Arial" w:hAnsi="Arial" w:cs="Arial"/>
              </w:rPr>
              <w:t>Mehrerlös/Jahr</w:t>
            </w:r>
          </w:p>
        </w:tc>
      </w:tr>
      <w:tr>
        <w:tc>
          <w:tcPr>
            <w:tcW w:type="dxa" w:w="2041"/>
            <w:tcMar>
              <w:top w:w="80" w:type="dxa"/>
              <w:bottom w:w="80" w:type="dxa"/>
              <w:start w:w="120" w:type="dxa"/>
              <w:end w:w="120" w:type="dxa"/>
            </w:tcMar>
          </w:tcPr>
          <w:p>
            <w:pPr>
              <w:spacing w:after="0"/>
            </w:pPr>
            <w:r>
              <w:rPr>
                <w:b/>
                <w:i w:val="0"/>
                <w:color w:val="333333"/>
                <w:sz w:val="20"/>
                <w:rFonts w:ascii="Arial" w:hAnsi="Arial" w:cs="Arial"/>
              </w:rPr>
              <w:t>21480 €</w:t>
            </w:r>
          </w:p>
        </w:tc>
        <w:tc>
          <w:tcPr>
            <w:tcW w:type="dxa" w:w="1814"/>
            <w:tcMar>
              <w:top w:w="80" w:type="dxa"/>
              <w:bottom w:w="80" w:type="dxa"/>
              <w:start w:w="120" w:type="dxa"/>
              <w:end w:w="120" w:type="dxa"/>
            </w:tcMar>
          </w:tcPr>
          <w:p>
            <w:pPr>
              <w:spacing w:after="0"/>
            </w:pPr>
            <w:r>
              <w:rPr>
                <w:b w:val="0"/>
                <w:i w:val="0"/>
                <w:color w:val="333333"/>
                <w:sz w:val="20"/>
                <w:rFonts w:ascii="Arial" w:hAnsi="Arial" w:cs="Arial"/>
              </w:rPr>
              <w:t>29640 €</w:t>
            </w:r>
          </w:p>
        </w:tc>
        <w:tc>
          <w:tcPr>
            <w:tcW w:type="dxa" w:w="1701"/>
            <w:tcMar>
              <w:top w:w="80" w:type="dxa"/>
              <w:bottom w:w="80" w:type="dxa"/>
              <w:start w:w="120" w:type="dxa"/>
              <w:end w:w="120" w:type="dxa"/>
            </w:tcMar>
          </w:tcPr>
          <w:p>
            <w:pPr>
              <w:spacing w:after="0"/>
            </w:pPr>
            <w:r>
              <w:rPr>
                <w:b w:val="0"/>
                <w:i w:val="0"/>
                <w:color w:val="333333"/>
                <w:sz w:val="20"/>
                <w:rFonts w:ascii="Arial" w:hAnsi="Arial" w:cs="Arial"/>
              </w:rPr>
              <w:t>64 → 132 €</w:t>
            </w:r>
          </w:p>
        </w:tc>
        <w:tc>
          <w:tcPr>
            <w:tcW w:type="dxa" w:w="1814"/>
            <w:tcMar>
              <w:top w:w="80" w:type="dxa"/>
              <w:bottom w:w="80" w:type="dxa"/>
              <w:start w:w="120" w:type="dxa"/>
              <w:end w:w="120" w:type="dxa"/>
            </w:tcMar>
          </w:tcPr>
          <w:p>
            <w:pPr>
              <w:spacing w:after="0"/>
            </w:pPr>
            <w:r>
              <w:rPr>
                <w:b w:val="0"/>
                <w:i w:val="0"/>
                <w:color w:val="333333"/>
                <w:sz w:val="20"/>
                <w:rFonts w:ascii="Arial" w:hAnsi="Arial" w:cs="Arial"/>
              </w:rPr>
              <w:t>8160 €</w:t>
            </w:r>
          </w:p>
        </w:tc>
        <w:tc>
          <w:tcPr>
            <w:tcW w:type="dxa" w:w="1701"/>
            <w:tcMar>
              <w:top w:w="80" w:type="dxa"/>
              <w:bottom w:w="80" w:type="dxa"/>
              <w:start w:w="120" w:type="dxa"/>
              <w:end w:w="120" w:type="dxa"/>
            </w:tcMar>
          </w:tcPr>
          <w:p>
            <w:pPr>
              <w:spacing w:after="0"/>
            </w:pPr>
            <w:r>
              <w:rPr>
                <w:b w:val="0"/>
                <w:i w:val="0"/>
                <w:color w:val="333333"/>
                <w:sz w:val="20"/>
                <w:rFonts w:ascii="Arial" w:hAnsi="Arial" w:cs="Arial"/>
              </w:rPr>
              <w:t>97920 €</w:t>
            </w:r>
          </w:p>
        </w:tc>
      </w:tr>
    </w:tbl>
    <w:p>
      <w:pPr>
        <w:spacing w:after="120"/>
      </w:pPr>
    </w:p>
    <w:p>
      <w:pPr>
        <w:pStyle w:val="Heading3"/>
      </w:pPr>
      <w:r>
        <w:rPr>
          <w:b/>
          <w:i w:val="0"/>
          <w:color w:val="0A0A0A"/>
          <w:sz w:val="22"/>
          <w:rFonts w:ascii="Arial" w:hAnsi="Arial" w:cs="Arial"/>
        </w:rPr>
        <w:t>Notdienst-Pauschale</w:t>
      </w:r>
    </w:p>
    <w:p>
      <w:pPr>
        <w:spacing w:after="40" w:before="0" w:line="276" w:lineRule="auto"/>
      </w:pPr>
      <w:r>
        <w:rPr>
          <w:b/>
          <w:i w:val="0"/>
          <w:color w:val="0A0A0A"/>
          <w:sz w:val="22"/>
          <w:rFonts w:ascii="Arial" w:hAnsi="Arial" w:cs="Arial"/>
        </w:rPr>
        <w:t xml:space="preserve">Paketname: </w:t>
      </w:r>
      <w:r>
        <w:rPr>
          <w:b w:val="0"/>
          <w:i w:val="0"/>
          <w:color w:val="333333"/>
          <w:sz w:val="22"/>
          <w:rFonts w:ascii="Arial" w:hAnsi="Arial" w:cs="Arial"/>
        </w:rPr>
        <w:t>„Soforthilfe-Pauschale“</w:t>
      </w:r>
    </w:p>
    <w:p>
      <w:pPr>
        <w:spacing w:after="80" w:before="0" w:line="276" w:lineRule="auto"/>
      </w:pPr>
      <w:r>
        <w:rPr>
          <w:b/>
          <w:i w:val="0"/>
          <w:color w:val="0A0A0A"/>
          <w:sz w:val="22"/>
          <w:rFonts w:ascii="Arial" w:hAnsi="Arial" w:cs="Arial"/>
        </w:rPr>
        <w:t xml:space="preserve">Enthalten: </w:t>
      </w:r>
      <w:r>
        <w:rPr>
          <w:b w:val="0"/>
          <w:i w:val="0"/>
          <w:color w:val="333333"/>
          <w:sz w:val="22"/>
          <w:rFonts w:ascii="Arial" w:hAnsi="Arial" w:cs="Arial"/>
        </w:rPr>
        <w:t>Anfahrt, erste Stunde, Diagnose, Sofortmaßnahme, verbindlicher Festpreis, 7 Tage erreichbar</w:t>
      </w:r>
    </w:p>
    <w:tbl>
      <w:tblPr>
        <w:tblStyle w:val="TableGrid"/>
        <w:tblW w:type="auto" w:w="0"/>
        <w:jc w:val="center"/>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Pr>
      <w:tblGrid>
        <w:gridCol w:w="1949"/>
        <w:gridCol w:w="1949"/>
        <w:gridCol w:w="1949"/>
        <w:gridCol w:w="1949"/>
        <w:gridCol w:w="1949"/>
      </w:tblGrid>
      <w:tr>
        <w:tc>
          <w:tcPr>
            <w:tcW w:type="dxa" w:w="2041"/>
            <w:shd w:val="clear" w:fill="333333"/>
            <w:tcMar>
              <w:top w:w="80" w:type="dxa"/>
              <w:bottom w:w="80" w:type="dxa"/>
              <w:start w:w="120" w:type="dxa"/>
              <w:end w:w="120" w:type="dxa"/>
            </w:tcMar>
          </w:tcPr>
          <w:p>
            <w:pPr>
              <w:spacing w:after="0"/>
            </w:pPr>
            <w:r>
              <w:rPr>
                <w:b/>
                <w:i w:val="0"/>
                <w:color w:val="FFFFFF"/>
                <w:sz w:val="19"/>
                <w:rFonts w:ascii="Arial" w:hAnsi="Arial" w:cs="Arial"/>
              </w:rPr>
              <w:t>Angebotspreis (klassisch)</w:t>
            </w:r>
          </w:p>
        </w:tc>
        <w:tc>
          <w:tcPr>
            <w:tcW w:type="dxa" w:w="1814"/>
            <w:shd w:val="clear" w:fill="333333"/>
            <w:tcMar>
              <w:top w:w="80" w:type="dxa"/>
              <w:bottom w:w="80" w:type="dxa"/>
              <w:start w:w="120" w:type="dxa"/>
              <w:end w:w="120" w:type="dxa"/>
            </w:tcMar>
          </w:tcPr>
          <w:p>
            <w:pPr>
              <w:spacing w:after="0"/>
            </w:pPr>
            <w:r>
              <w:rPr>
                <w:b/>
                <w:i w:val="0"/>
                <w:color w:val="FFFFFF"/>
                <w:sz w:val="19"/>
                <w:rFonts w:ascii="Arial" w:hAnsi="Arial" w:cs="Arial"/>
              </w:rPr>
              <w:t>Festpreis-Paket</w:t>
            </w:r>
          </w:p>
        </w:tc>
        <w:tc>
          <w:tcPr>
            <w:tcW w:type="dxa" w:w="1701"/>
            <w:shd w:val="clear" w:fill="333333"/>
            <w:tcMar>
              <w:top w:w="80" w:type="dxa"/>
              <w:bottom w:w="80" w:type="dxa"/>
              <w:start w:w="120" w:type="dxa"/>
              <w:end w:w="120" w:type="dxa"/>
            </w:tcMar>
          </w:tcPr>
          <w:p>
            <w:pPr>
              <w:spacing w:after="0"/>
            </w:pPr>
            <w:r>
              <w:rPr>
                <w:b/>
                <w:i w:val="0"/>
                <w:color w:val="FFFFFF"/>
                <w:sz w:val="19"/>
                <w:rFonts w:ascii="Arial" w:hAnsi="Arial" w:cs="Arial"/>
              </w:rPr>
              <w:t>Eff. Satz</w:t>
            </w:r>
          </w:p>
        </w:tc>
        <w:tc>
          <w:tcPr>
            <w:tcW w:type="dxa" w:w="1814"/>
            <w:shd w:val="clear" w:fill="333333"/>
            <w:tcMar>
              <w:top w:w="80" w:type="dxa"/>
              <w:bottom w:w="80" w:type="dxa"/>
              <w:start w:w="120" w:type="dxa"/>
              <w:end w:w="120" w:type="dxa"/>
            </w:tcMar>
          </w:tcPr>
          <w:p>
            <w:pPr>
              <w:spacing w:after="0"/>
            </w:pPr>
            <w:r>
              <w:rPr>
                <w:b/>
                <w:i w:val="0"/>
                <w:color w:val="FFFFFF"/>
                <w:sz w:val="19"/>
                <w:rFonts w:ascii="Arial" w:hAnsi="Arial" w:cs="Arial"/>
              </w:rPr>
              <w:t>Mehrerlös/Auftrag</w:t>
            </w:r>
          </w:p>
        </w:tc>
        <w:tc>
          <w:tcPr>
            <w:tcW w:type="dxa" w:w="1701"/>
            <w:shd w:val="clear" w:fill="333333"/>
            <w:tcMar>
              <w:top w:w="80" w:type="dxa"/>
              <w:bottom w:w="80" w:type="dxa"/>
              <w:start w:w="120" w:type="dxa"/>
              <w:end w:w="120" w:type="dxa"/>
            </w:tcMar>
          </w:tcPr>
          <w:p>
            <w:pPr>
              <w:spacing w:after="0"/>
            </w:pPr>
            <w:r>
              <w:rPr>
                <w:b/>
                <w:i w:val="0"/>
                <w:color w:val="FFFFFF"/>
                <w:sz w:val="19"/>
                <w:rFonts w:ascii="Arial" w:hAnsi="Arial" w:cs="Arial"/>
              </w:rPr>
              <w:t>Mehrerlös/Jahr</w:t>
            </w:r>
          </w:p>
        </w:tc>
      </w:tr>
      <w:tr>
        <w:tc>
          <w:tcPr>
            <w:tcW w:type="dxa" w:w="2041"/>
            <w:tcMar>
              <w:top w:w="80" w:type="dxa"/>
              <w:bottom w:w="80" w:type="dxa"/>
              <w:start w:w="120" w:type="dxa"/>
              <w:end w:w="120" w:type="dxa"/>
            </w:tcMar>
          </w:tcPr>
          <w:p>
            <w:pPr>
              <w:spacing w:after="0"/>
            </w:pPr>
            <w:r>
              <w:rPr>
                <w:b/>
                <w:i w:val="0"/>
                <w:color w:val="333333"/>
                <w:sz w:val="20"/>
                <w:rFonts w:ascii="Arial" w:hAnsi="Arial" w:cs="Arial"/>
              </w:rPr>
              <w:t>344 €</w:t>
            </w:r>
          </w:p>
        </w:tc>
        <w:tc>
          <w:tcPr>
            <w:tcW w:type="dxa" w:w="1814"/>
            <w:tcMar>
              <w:top w:w="80" w:type="dxa"/>
              <w:bottom w:w="80" w:type="dxa"/>
              <w:start w:w="120" w:type="dxa"/>
              <w:end w:w="120" w:type="dxa"/>
            </w:tcMar>
          </w:tcPr>
          <w:p>
            <w:pPr>
              <w:spacing w:after="0"/>
            </w:pPr>
            <w:r>
              <w:rPr>
                <w:b w:val="0"/>
                <w:i w:val="0"/>
                <w:color w:val="333333"/>
                <w:sz w:val="20"/>
                <w:rFonts w:ascii="Arial" w:hAnsi="Arial" w:cs="Arial"/>
              </w:rPr>
              <w:t>490 €</w:t>
            </w:r>
          </w:p>
        </w:tc>
        <w:tc>
          <w:tcPr>
            <w:tcW w:type="dxa" w:w="1701"/>
            <w:tcMar>
              <w:top w:w="80" w:type="dxa"/>
              <w:bottom w:w="80" w:type="dxa"/>
              <w:start w:w="120" w:type="dxa"/>
              <w:end w:w="120" w:type="dxa"/>
            </w:tcMar>
          </w:tcPr>
          <w:p>
            <w:pPr>
              <w:spacing w:after="0"/>
            </w:pPr>
            <w:r>
              <w:rPr>
                <w:b w:val="0"/>
                <w:i w:val="0"/>
                <w:color w:val="333333"/>
                <w:sz w:val="20"/>
                <w:rFonts w:ascii="Arial" w:hAnsi="Arial" w:cs="Arial"/>
              </w:rPr>
              <w:t>64 → 137 €</w:t>
            </w:r>
          </w:p>
        </w:tc>
        <w:tc>
          <w:tcPr>
            <w:tcW w:type="dxa" w:w="1814"/>
            <w:tcMar>
              <w:top w:w="80" w:type="dxa"/>
              <w:bottom w:w="80" w:type="dxa"/>
              <w:start w:w="120" w:type="dxa"/>
              <w:end w:w="120" w:type="dxa"/>
            </w:tcMar>
          </w:tcPr>
          <w:p>
            <w:pPr>
              <w:spacing w:after="0"/>
            </w:pPr>
            <w:r>
              <w:rPr>
                <w:b w:val="0"/>
                <w:i w:val="0"/>
                <w:color w:val="333333"/>
                <w:sz w:val="20"/>
                <w:rFonts w:ascii="Arial" w:hAnsi="Arial" w:cs="Arial"/>
              </w:rPr>
              <w:t>146 €</w:t>
            </w:r>
          </w:p>
        </w:tc>
        <w:tc>
          <w:tcPr>
            <w:tcW w:type="dxa" w:w="1701"/>
            <w:tcMar>
              <w:top w:w="80" w:type="dxa"/>
              <w:bottom w:w="80" w:type="dxa"/>
              <w:start w:w="120" w:type="dxa"/>
              <w:end w:w="120" w:type="dxa"/>
            </w:tcMar>
          </w:tcPr>
          <w:p>
            <w:pPr>
              <w:spacing w:after="0"/>
            </w:pPr>
            <w:r>
              <w:rPr>
                <w:b w:val="0"/>
                <w:i w:val="0"/>
                <w:color w:val="333333"/>
                <w:sz w:val="20"/>
                <w:rFonts w:ascii="Arial" w:hAnsi="Arial" w:cs="Arial"/>
              </w:rPr>
              <w:t>21900 €</w:t>
            </w:r>
          </w:p>
        </w:tc>
      </w:tr>
    </w:tbl>
    <w:p>
      <w:pPr>
        <w:spacing w:after="120"/>
      </w:pPr>
    </w:p>
    <w:p>
      <w:pPr>
        <w:pStyle w:val="Heading3"/>
      </w:pPr>
      <w:r>
        <w:rPr>
          <w:b/>
          <w:i w:val="0"/>
          <w:color w:val="0A0A0A"/>
          <w:sz w:val="22"/>
          <w:rFonts w:ascii="Arial" w:hAnsi="Arial" w:cs="Arial"/>
        </w:rPr>
        <w:t>Wartungsvertrag Heizung</w:t>
      </w:r>
    </w:p>
    <w:p>
      <w:pPr>
        <w:spacing w:after="40" w:before="0" w:line="276" w:lineRule="auto"/>
      </w:pPr>
      <w:r>
        <w:rPr>
          <w:b/>
          <w:i w:val="0"/>
          <w:color w:val="0A0A0A"/>
          <w:sz w:val="22"/>
          <w:rFonts w:ascii="Arial" w:hAnsi="Arial" w:cs="Arial"/>
        </w:rPr>
        <w:t xml:space="preserve">Paketname: </w:t>
      </w:r>
      <w:r>
        <w:rPr>
          <w:b w:val="0"/>
          <w:i w:val="0"/>
          <w:color w:val="333333"/>
          <w:sz w:val="22"/>
          <w:rFonts w:ascii="Arial" w:hAnsi="Arial" w:cs="Arial"/>
        </w:rPr>
        <w:t>„Heizung-Schutzvertrag“</w:t>
      </w:r>
    </w:p>
    <w:p>
      <w:pPr>
        <w:spacing w:after="80" w:before="0" w:line="276" w:lineRule="auto"/>
      </w:pPr>
      <w:r>
        <w:rPr>
          <w:b/>
          <w:i w:val="0"/>
          <w:color w:val="0A0A0A"/>
          <w:sz w:val="22"/>
          <w:rFonts w:ascii="Arial" w:hAnsi="Arial" w:cs="Arial"/>
        </w:rPr>
        <w:t xml:space="preserve">Enthalten: </w:t>
      </w:r>
      <w:r>
        <w:rPr>
          <w:b w:val="0"/>
          <w:i w:val="0"/>
          <w:color w:val="333333"/>
          <w:sz w:val="22"/>
          <w:rFonts w:ascii="Arial" w:hAnsi="Arial" w:cs="Arial"/>
        </w:rPr>
        <w:t>Jährliche Wartung, Sicherheitsprüfung, Vorrang bei Störungen, Preisgarantie auf Ersatzteile</w:t>
      </w:r>
    </w:p>
    <w:tbl>
      <w:tblPr>
        <w:tblStyle w:val="TableGrid"/>
        <w:tblW w:type="auto" w:w="0"/>
        <w:jc w:val="center"/>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Pr>
      <w:tblGrid>
        <w:gridCol w:w="1949"/>
        <w:gridCol w:w="1949"/>
        <w:gridCol w:w="1949"/>
        <w:gridCol w:w="1949"/>
        <w:gridCol w:w="1949"/>
      </w:tblGrid>
      <w:tr>
        <w:tc>
          <w:tcPr>
            <w:tcW w:type="dxa" w:w="2041"/>
            <w:shd w:val="clear" w:fill="333333"/>
            <w:tcMar>
              <w:top w:w="80" w:type="dxa"/>
              <w:bottom w:w="80" w:type="dxa"/>
              <w:start w:w="120" w:type="dxa"/>
              <w:end w:w="120" w:type="dxa"/>
            </w:tcMar>
          </w:tcPr>
          <w:p>
            <w:pPr>
              <w:spacing w:after="0"/>
            </w:pPr>
            <w:r>
              <w:rPr>
                <w:b/>
                <w:i w:val="0"/>
                <w:color w:val="FFFFFF"/>
                <w:sz w:val="19"/>
                <w:rFonts w:ascii="Arial" w:hAnsi="Arial" w:cs="Arial"/>
              </w:rPr>
              <w:t>Angebotspreis (klassisch)</w:t>
            </w:r>
          </w:p>
        </w:tc>
        <w:tc>
          <w:tcPr>
            <w:tcW w:type="dxa" w:w="1814"/>
            <w:shd w:val="clear" w:fill="333333"/>
            <w:tcMar>
              <w:top w:w="80" w:type="dxa"/>
              <w:bottom w:w="80" w:type="dxa"/>
              <w:start w:w="120" w:type="dxa"/>
              <w:end w:w="120" w:type="dxa"/>
            </w:tcMar>
          </w:tcPr>
          <w:p>
            <w:pPr>
              <w:spacing w:after="0"/>
            </w:pPr>
            <w:r>
              <w:rPr>
                <w:b/>
                <w:i w:val="0"/>
                <w:color w:val="FFFFFF"/>
                <w:sz w:val="19"/>
                <w:rFonts w:ascii="Arial" w:hAnsi="Arial" w:cs="Arial"/>
              </w:rPr>
              <w:t>Festpreis-Paket</w:t>
            </w:r>
          </w:p>
        </w:tc>
        <w:tc>
          <w:tcPr>
            <w:tcW w:type="dxa" w:w="1701"/>
            <w:shd w:val="clear" w:fill="333333"/>
            <w:tcMar>
              <w:top w:w="80" w:type="dxa"/>
              <w:bottom w:w="80" w:type="dxa"/>
              <w:start w:w="120" w:type="dxa"/>
              <w:end w:w="120" w:type="dxa"/>
            </w:tcMar>
          </w:tcPr>
          <w:p>
            <w:pPr>
              <w:spacing w:after="0"/>
            </w:pPr>
            <w:r>
              <w:rPr>
                <w:b/>
                <w:i w:val="0"/>
                <w:color w:val="FFFFFF"/>
                <w:sz w:val="19"/>
                <w:rFonts w:ascii="Arial" w:hAnsi="Arial" w:cs="Arial"/>
              </w:rPr>
              <w:t>Eff. Satz</w:t>
            </w:r>
          </w:p>
        </w:tc>
        <w:tc>
          <w:tcPr>
            <w:tcW w:type="dxa" w:w="1814"/>
            <w:shd w:val="clear" w:fill="333333"/>
            <w:tcMar>
              <w:top w:w="80" w:type="dxa"/>
              <w:bottom w:w="80" w:type="dxa"/>
              <w:start w:w="120" w:type="dxa"/>
              <w:end w:w="120" w:type="dxa"/>
            </w:tcMar>
          </w:tcPr>
          <w:p>
            <w:pPr>
              <w:spacing w:after="0"/>
            </w:pPr>
            <w:r>
              <w:rPr>
                <w:b/>
                <w:i w:val="0"/>
                <w:color w:val="FFFFFF"/>
                <w:sz w:val="19"/>
                <w:rFonts w:ascii="Arial" w:hAnsi="Arial" w:cs="Arial"/>
              </w:rPr>
              <w:t>Mehrerlös/Auftrag</w:t>
            </w:r>
          </w:p>
        </w:tc>
        <w:tc>
          <w:tcPr>
            <w:tcW w:type="dxa" w:w="1701"/>
            <w:shd w:val="clear" w:fill="333333"/>
            <w:tcMar>
              <w:top w:w="80" w:type="dxa"/>
              <w:bottom w:w="80" w:type="dxa"/>
              <w:start w:w="120" w:type="dxa"/>
              <w:end w:w="120" w:type="dxa"/>
            </w:tcMar>
          </w:tcPr>
          <w:p>
            <w:pPr>
              <w:spacing w:after="0"/>
            </w:pPr>
            <w:r>
              <w:rPr>
                <w:b/>
                <w:i w:val="0"/>
                <w:color w:val="FFFFFF"/>
                <w:sz w:val="19"/>
                <w:rFonts w:ascii="Arial" w:hAnsi="Arial" w:cs="Arial"/>
              </w:rPr>
              <w:t>Mehrerlös/Jahr</w:t>
            </w:r>
          </w:p>
        </w:tc>
      </w:tr>
      <w:tr>
        <w:tc>
          <w:tcPr>
            <w:tcW w:type="dxa" w:w="2041"/>
            <w:tcMar>
              <w:top w:w="80" w:type="dxa"/>
              <w:bottom w:w="80" w:type="dxa"/>
              <w:start w:w="120" w:type="dxa"/>
              <w:end w:w="120" w:type="dxa"/>
            </w:tcMar>
          </w:tcPr>
          <w:p>
            <w:pPr>
              <w:spacing w:after="0"/>
            </w:pPr>
            <w:r>
              <w:rPr>
                <w:b/>
                <w:i w:val="0"/>
                <w:color w:val="333333"/>
                <w:sz w:val="20"/>
                <w:rFonts w:ascii="Arial" w:hAnsi="Arial" w:cs="Arial"/>
              </w:rPr>
              <w:t>162 €</w:t>
            </w:r>
          </w:p>
        </w:tc>
        <w:tc>
          <w:tcPr>
            <w:tcW w:type="dxa" w:w="1814"/>
            <w:tcMar>
              <w:top w:w="80" w:type="dxa"/>
              <w:bottom w:w="80" w:type="dxa"/>
              <w:start w:w="120" w:type="dxa"/>
              <w:end w:w="120" w:type="dxa"/>
            </w:tcMar>
          </w:tcPr>
          <w:p>
            <w:pPr>
              <w:spacing w:after="0"/>
            </w:pPr>
            <w:r>
              <w:rPr>
                <w:b w:val="0"/>
                <w:i w:val="0"/>
                <w:color w:val="333333"/>
                <w:sz w:val="20"/>
                <w:rFonts w:ascii="Arial" w:hAnsi="Arial" w:cs="Arial"/>
              </w:rPr>
              <w:t>220 €</w:t>
            </w:r>
          </w:p>
        </w:tc>
        <w:tc>
          <w:tcPr>
            <w:tcW w:type="dxa" w:w="1701"/>
            <w:tcMar>
              <w:top w:w="80" w:type="dxa"/>
              <w:bottom w:w="80" w:type="dxa"/>
              <w:start w:w="120" w:type="dxa"/>
              <w:end w:w="120" w:type="dxa"/>
            </w:tcMar>
          </w:tcPr>
          <w:p>
            <w:pPr>
              <w:spacing w:after="0"/>
            </w:pPr>
            <w:r>
              <w:rPr>
                <w:b w:val="0"/>
                <w:i w:val="0"/>
                <w:color w:val="333333"/>
                <w:sz w:val="20"/>
                <w:rFonts w:ascii="Arial" w:hAnsi="Arial" w:cs="Arial"/>
              </w:rPr>
              <w:t>64 → 103 €</w:t>
            </w:r>
          </w:p>
        </w:tc>
        <w:tc>
          <w:tcPr>
            <w:tcW w:type="dxa" w:w="1814"/>
            <w:tcMar>
              <w:top w:w="80" w:type="dxa"/>
              <w:bottom w:w="80" w:type="dxa"/>
              <w:start w:w="120" w:type="dxa"/>
              <w:end w:w="120" w:type="dxa"/>
            </w:tcMar>
          </w:tcPr>
          <w:p>
            <w:pPr>
              <w:spacing w:after="0"/>
            </w:pPr>
            <w:r>
              <w:rPr>
                <w:b w:val="0"/>
                <w:i w:val="0"/>
                <w:color w:val="333333"/>
                <w:sz w:val="20"/>
                <w:rFonts w:ascii="Arial" w:hAnsi="Arial" w:cs="Arial"/>
              </w:rPr>
              <w:t>58 €</w:t>
            </w:r>
          </w:p>
        </w:tc>
        <w:tc>
          <w:tcPr>
            <w:tcW w:type="dxa" w:w="1701"/>
            <w:tcMar>
              <w:top w:w="80" w:type="dxa"/>
              <w:bottom w:w="80" w:type="dxa"/>
              <w:start w:w="120" w:type="dxa"/>
              <w:end w:w="120" w:type="dxa"/>
            </w:tcMar>
          </w:tcPr>
          <w:p>
            <w:pPr>
              <w:spacing w:after="0"/>
            </w:pPr>
            <w:r>
              <w:rPr>
                <w:b w:val="0"/>
                <w:i w:val="0"/>
                <w:color w:val="333333"/>
                <w:sz w:val="20"/>
                <w:rFonts w:ascii="Arial" w:hAnsi="Arial" w:cs="Arial"/>
              </w:rPr>
              <w:t>11600 €</w:t>
            </w:r>
          </w:p>
        </w:tc>
      </w:tr>
    </w:tbl>
    <w:p>
      <w:pPr>
        <w:spacing w:after="120"/>
      </w:pPr>
    </w:p>
    <w:p>
      <w:pPr>
        <w:pStyle w:val="Heading3"/>
      </w:pPr>
      <w:r>
        <w:rPr>
          <w:b/>
          <w:i w:val="0"/>
          <w:color w:val="0A0A0A"/>
          <w:sz w:val="22"/>
          <w:rFonts w:ascii="Arial" w:hAnsi="Arial" w:cs="Arial"/>
        </w:rPr>
        <w:t>Heizungs-Modernisierung</w:t>
      </w:r>
    </w:p>
    <w:p>
      <w:pPr>
        <w:spacing w:after="40" w:before="0" w:line="276" w:lineRule="auto"/>
      </w:pPr>
      <w:r>
        <w:rPr>
          <w:b/>
          <w:i w:val="0"/>
          <w:color w:val="0A0A0A"/>
          <w:sz w:val="22"/>
          <w:rFonts w:ascii="Arial" w:hAnsi="Arial" w:cs="Arial"/>
        </w:rPr>
        <w:t xml:space="preserve">Paketname: </w:t>
      </w:r>
      <w:r>
        <w:rPr>
          <w:b w:val="0"/>
          <w:i w:val="0"/>
          <w:color w:val="333333"/>
          <w:sz w:val="22"/>
          <w:rFonts w:ascii="Arial" w:hAnsi="Arial" w:cs="Arial"/>
        </w:rPr>
        <w:t>„Festpreis-Heizungstausch“</w:t>
      </w:r>
    </w:p>
    <w:p>
      <w:pPr>
        <w:spacing w:after="80" w:before="0" w:line="276" w:lineRule="auto"/>
      </w:pPr>
      <w:r>
        <w:rPr>
          <w:b/>
          <w:i w:val="0"/>
          <w:color w:val="0A0A0A"/>
          <w:sz w:val="22"/>
          <w:rFonts w:ascii="Arial" w:hAnsi="Arial" w:cs="Arial"/>
        </w:rPr>
        <w:t xml:space="preserve">Enthalten: </w:t>
      </w:r>
      <w:r>
        <w:rPr>
          <w:b w:val="0"/>
          <w:i w:val="0"/>
          <w:color w:val="333333"/>
          <w:sz w:val="22"/>
          <w:rFonts w:ascii="Arial" w:hAnsi="Arial" w:cs="Arial"/>
        </w:rPr>
        <w:t>Beratung, Demontage Altanlage, neue Brennwerttechnik, Inbetriebnahme, Einweisung, Entsorgung</w:t>
      </w:r>
    </w:p>
    <w:tbl>
      <w:tblPr>
        <w:tblStyle w:val="TableGrid"/>
        <w:tblW w:type="auto" w:w="0"/>
        <w:jc w:val="center"/>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Pr>
      <w:tblGrid>
        <w:gridCol w:w="1949"/>
        <w:gridCol w:w="1949"/>
        <w:gridCol w:w="1949"/>
        <w:gridCol w:w="1949"/>
        <w:gridCol w:w="1949"/>
      </w:tblGrid>
      <w:tr>
        <w:tc>
          <w:tcPr>
            <w:tcW w:type="dxa" w:w="2041"/>
            <w:shd w:val="clear" w:fill="333333"/>
            <w:tcMar>
              <w:top w:w="80" w:type="dxa"/>
              <w:bottom w:w="80" w:type="dxa"/>
              <w:start w:w="120" w:type="dxa"/>
              <w:end w:w="120" w:type="dxa"/>
            </w:tcMar>
          </w:tcPr>
          <w:p>
            <w:pPr>
              <w:spacing w:after="0"/>
            </w:pPr>
            <w:r>
              <w:rPr>
                <w:b/>
                <w:i w:val="0"/>
                <w:color w:val="FFFFFF"/>
                <w:sz w:val="19"/>
                <w:rFonts w:ascii="Arial" w:hAnsi="Arial" w:cs="Arial"/>
              </w:rPr>
              <w:t>Angebotspreis (klassisch)</w:t>
            </w:r>
          </w:p>
        </w:tc>
        <w:tc>
          <w:tcPr>
            <w:tcW w:type="dxa" w:w="1814"/>
            <w:shd w:val="clear" w:fill="333333"/>
            <w:tcMar>
              <w:top w:w="80" w:type="dxa"/>
              <w:bottom w:w="80" w:type="dxa"/>
              <w:start w:w="120" w:type="dxa"/>
              <w:end w:w="120" w:type="dxa"/>
            </w:tcMar>
          </w:tcPr>
          <w:p>
            <w:pPr>
              <w:spacing w:after="0"/>
            </w:pPr>
            <w:r>
              <w:rPr>
                <w:b/>
                <w:i w:val="0"/>
                <w:color w:val="FFFFFF"/>
                <w:sz w:val="19"/>
                <w:rFonts w:ascii="Arial" w:hAnsi="Arial" w:cs="Arial"/>
              </w:rPr>
              <w:t>Festpreis-Paket</w:t>
            </w:r>
          </w:p>
        </w:tc>
        <w:tc>
          <w:tcPr>
            <w:tcW w:type="dxa" w:w="1701"/>
            <w:shd w:val="clear" w:fill="333333"/>
            <w:tcMar>
              <w:top w:w="80" w:type="dxa"/>
              <w:bottom w:w="80" w:type="dxa"/>
              <w:start w:w="120" w:type="dxa"/>
              <w:end w:w="120" w:type="dxa"/>
            </w:tcMar>
          </w:tcPr>
          <w:p>
            <w:pPr>
              <w:spacing w:after="0"/>
            </w:pPr>
            <w:r>
              <w:rPr>
                <w:b/>
                <w:i w:val="0"/>
                <w:color w:val="FFFFFF"/>
                <w:sz w:val="19"/>
                <w:rFonts w:ascii="Arial" w:hAnsi="Arial" w:cs="Arial"/>
              </w:rPr>
              <w:t>Eff. Satz</w:t>
            </w:r>
          </w:p>
        </w:tc>
        <w:tc>
          <w:tcPr>
            <w:tcW w:type="dxa" w:w="1814"/>
            <w:shd w:val="clear" w:fill="333333"/>
            <w:tcMar>
              <w:top w:w="80" w:type="dxa"/>
              <w:bottom w:w="80" w:type="dxa"/>
              <w:start w:w="120" w:type="dxa"/>
              <w:end w:w="120" w:type="dxa"/>
            </w:tcMar>
          </w:tcPr>
          <w:p>
            <w:pPr>
              <w:spacing w:after="0"/>
            </w:pPr>
            <w:r>
              <w:rPr>
                <w:b/>
                <w:i w:val="0"/>
                <w:color w:val="FFFFFF"/>
                <w:sz w:val="19"/>
                <w:rFonts w:ascii="Arial" w:hAnsi="Arial" w:cs="Arial"/>
              </w:rPr>
              <w:t>Mehrerlös/Auftrag</w:t>
            </w:r>
          </w:p>
        </w:tc>
        <w:tc>
          <w:tcPr>
            <w:tcW w:type="dxa" w:w="1701"/>
            <w:shd w:val="clear" w:fill="333333"/>
            <w:tcMar>
              <w:top w:w="80" w:type="dxa"/>
              <w:bottom w:w="80" w:type="dxa"/>
              <w:start w:w="120" w:type="dxa"/>
              <w:end w:w="120" w:type="dxa"/>
            </w:tcMar>
          </w:tcPr>
          <w:p>
            <w:pPr>
              <w:spacing w:after="0"/>
            </w:pPr>
            <w:r>
              <w:rPr>
                <w:b/>
                <w:i w:val="0"/>
                <w:color w:val="FFFFFF"/>
                <w:sz w:val="19"/>
                <w:rFonts w:ascii="Arial" w:hAnsi="Arial" w:cs="Arial"/>
              </w:rPr>
              <w:t>Mehrerlös/Jahr</w:t>
            </w:r>
          </w:p>
        </w:tc>
      </w:tr>
      <w:tr>
        <w:tc>
          <w:tcPr>
            <w:tcW w:type="dxa" w:w="2041"/>
            <w:tcMar>
              <w:top w:w="80" w:type="dxa"/>
              <w:bottom w:w="80" w:type="dxa"/>
              <w:start w:w="120" w:type="dxa"/>
              <w:end w:w="120" w:type="dxa"/>
            </w:tcMar>
          </w:tcPr>
          <w:p>
            <w:pPr>
              <w:spacing w:after="0"/>
            </w:pPr>
            <w:r>
              <w:rPr>
                <w:b/>
                <w:i w:val="0"/>
                <w:color w:val="333333"/>
                <w:sz w:val="20"/>
                <w:rFonts w:ascii="Arial" w:hAnsi="Arial" w:cs="Arial"/>
              </w:rPr>
              <w:t>9715 €</w:t>
            </w:r>
          </w:p>
        </w:tc>
        <w:tc>
          <w:tcPr>
            <w:tcW w:type="dxa" w:w="1814"/>
            <w:tcMar>
              <w:top w:w="80" w:type="dxa"/>
              <w:bottom w:w="80" w:type="dxa"/>
              <w:start w:w="120" w:type="dxa"/>
              <w:end w:w="120" w:type="dxa"/>
            </w:tcMar>
          </w:tcPr>
          <w:p>
            <w:pPr>
              <w:spacing w:after="0"/>
            </w:pPr>
            <w:r>
              <w:rPr>
                <w:b w:val="0"/>
                <w:i w:val="0"/>
                <w:color w:val="333333"/>
                <w:sz w:val="20"/>
                <w:rFonts w:ascii="Arial" w:hAnsi="Arial" w:cs="Arial"/>
              </w:rPr>
              <w:t>14090 €</w:t>
            </w:r>
          </w:p>
        </w:tc>
        <w:tc>
          <w:tcPr>
            <w:tcW w:type="dxa" w:w="1701"/>
            <w:tcMar>
              <w:top w:w="80" w:type="dxa"/>
              <w:bottom w:w="80" w:type="dxa"/>
              <w:start w:w="120" w:type="dxa"/>
              <w:end w:w="120" w:type="dxa"/>
            </w:tcMar>
          </w:tcPr>
          <w:p>
            <w:pPr>
              <w:spacing w:after="0"/>
            </w:pPr>
            <w:r>
              <w:rPr>
                <w:b w:val="0"/>
                <w:i w:val="0"/>
                <w:color w:val="333333"/>
                <w:sz w:val="20"/>
                <w:rFonts w:ascii="Arial" w:hAnsi="Arial" w:cs="Arial"/>
              </w:rPr>
              <w:t>64 → 189 €</w:t>
            </w:r>
          </w:p>
        </w:tc>
        <w:tc>
          <w:tcPr>
            <w:tcW w:type="dxa" w:w="1814"/>
            <w:tcMar>
              <w:top w:w="80" w:type="dxa"/>
              <w:bottom w:w="80" w:type="dxa"/>
              <w:start w:w="120" w:type="dxa"/>
              <w:end w:w="120" w:type="dxa"/>
            </w:tcMar>
          </w:tcPr>
          <w:p>
            <w:pPr>
              <w:spacing w:after="0"/>
            </w:pPr>
            <w:r>
              <w:rPr>
                <w:b w:val="0"/>
                <w:i w:val="0"/>
                <w:color w:val="333333"/>
                <w:sz w:val="20"/>
                <w:rFonts w:ascii="Arial" w:hAnsi="Arial" w:cs="Arial"/>
              </w:rPr>
              <w:t>4375 €</w:t>
            </w:r>
          </w:p>
        </w:tc>
        <w:tc>
          <w:tcPr>
            <w:tcW w:type="dxa" w:w="1701"/>
            <w:tcMar>
              <w:top w:w="80" w:type="dxa"/>
              <w:bottom w:w="80" w:type="dxa"/>
              <w:start w:w="120" w:type="dxa"/>
              <w:end w:w="120" w:type="dxa"/>
            </w:tcMar>
          </w:tcPr>
          <w:p>
            <w:pPr>
              <w:spacing w:after="0"/>
            </w:pPr>
            <w:r>
              <w:rPr>
                <w:b w:val="0"/>
                <w:i w:val="0"/>
                <w:color w:val="333333"/>
                <w:sz w:val="20"/>
                <w:rFonts w:ascii="Arial" w:hAnsi="Arial" w:cs="Arial"/>
              </w:rPr>
              <w:t>131250 €</w:t>
            </w:r>
          </w:p>
        </w:tc>
      </w:tr>
    </w:tbl>
    <w:p>
      <w:pPr>
        <w:spacing w:after="120"/>
      </w:pPr>
    </w:p>
    <w:p>
      <w:pPr>
        <w:pStyle w:val="Heading1"/>
      </w:pPr>
      <w:r>
        <w:rPr>
          <w:b/>
          <w:i w:val="0"/>
          <w:color w:val="0A0A0A"/>
          <w:sz w:val="32"/>
          <w:rFonts w:ascii="Arial" w:hAnsi="Arial" w:cs="Arial"/>
        </w:rPr>
        <w:t>8. Die häufigsten Stolpersteine</w:t>
      </w:r>
    </w:p>
    <w:p>
      <w:pPr>
        <w:pStyle w:val="ListBullet"/>
        <w:spacing w:after="60"/>
      </w:pPr>
      <w:r>
        <w:rPr>
          <w:b/>
          <w:i w:val="0"/>
          <w:color w:val="0A0A0A"/>
          <w:sz w:val="22"/>
          <w:rFonts w:ascii="Arial" w:hAnsi="Arial" w:cs="Arial"/>
        </w:rPr>
        <w:t xml:space="preserve">Zu früh über den Stundensatz reden. </w:t>
      </w:r>
      <w:r>
        <w:rPr>
          <w:b w:val="0"/>
          <w:i w:val="0"/>
          <w:color w:val="333333"/>
          <w:sz w:val="22"/>
          <w:rFonts w:ascii="Arial" w:hAnsi="Arial" w:cs="Arial"/>
        </w:rPr>
        <w:t>Sobald Sie eine Zahl pro Stunde nennen, ist das Paket aufgebrochen. Sprechen Sie über Leistung und Ergebnis.</w:t>
      </w:r>
    </w:p>
    <w:p>
      <w:pPr>
        <w:pStyle w:val="ListBullet"/>
        <w:spacing w:after="60"/>
      </w:pPr>
      <w:r>
        <w:rPr>
          <w:b/>
          <w:i w:val="0"/>
          <w:color w:val="0A0A0A"/>
          <w:sz w:val="22"/>
          <w:rFonts w:ascii="Arial" w:hAnsi="Arial" w:cs="Arial"/>
        </w:rPr>
        <w:t xml:space="preserve">Kein Paketname. </w:t>
      </w:r>
      <w:r>
        <w:rPr>
          <w:b w:val="0"/>
          <w:i w:val="0"/>
          <w:color w:val="333333"/>
          <w:sz w:val="22"/>
          <w:rFonts w:ascii="Arial" w:hAnsi="Arial" w:cs="Arial"/>
        </w:rPr>
        <w:t>Ein Paket ohne Namen ist nur eine Aufzählung. Der Name macht es zum Produkt, das man nicht 1:1 vergleichen kann.</w:t>
      </w:r>
    </w:p>
    <w:p>
      <w:pPr>
        <w:pStyle w:val="ListBullet"/>
        <w:spacing w:after="60"/>
      </w:pPr>
      <w:r>
        <w:rPr>
          <w:b/>
          <w:i w:val="0"/>
          <w:color w:val="0A0A0A"/>
          <w:sz w:val="22"/>
          <w:rFonts w:ascii="Arial" w:hAnsi="Arial" w:cs="Arial"/>
        </w:rPr>
        <w:t xml:space="preserve">Rabatt aus Reflex. </w:t>
      </w:r>
      <w:r>
        <w:rPr>
          <w:b w:val="0"/>
          <w:i w:val="0"/>
          <w:color w:val="333333"/>
          <w:sz w:val="22"/>
          <w:rFonts w:ascii="Arial" w:hAnsi="Arial" w:cs="Arial"/>
        </w:rPr>
        <w:t>Wer beim ersten Zögern nachlässt, bestraft seinen fairen Erstpreis. Begründen Sie den Wert, statt den Preis zu senken.</w:t>
      </w:r>
    </w:p>
    <w:p>
      <w:pPr>
        <w:pStyle w:val="ListBullet"/>
        <w:spacing w:after="60"/>
      </w:pPr>
      <w:r>
        <w:rPr>
          <w:b/>
          <w:i w:val="0"/>
          <w:color w:val="0A0A0A"/>
          <w:sz w:val="22"/>
          <w:rFonts w:ascii="Arial" w:hAnsi="Arial" w:cs="Arial"/>
        </w:rPr>
        <w:t xml:space="preserve">Keine Nachkalkulation. </w:t>
      </w:r>
      <w:r>
        <w:rPr>
          <w:b w:val="0"/>
          <w:i w:val="0"/>
          <w:color w:val="333333"/>
          <w:sz w:val="22"/>
          <w:rFonts w:ascii="Arial" w:hAnsi="Arial" w:cs="Arial"/>
        </w:rPr>
        <w:t>Ohne Soll-Ist-Vergleich wissen Sie nicht, ob das Paket trägt. Das ist Werkzeug 2 des Erfolgskits.</w:t>
      </w:r>
    </w:p>
    <w:p>
      <w:pPr>
        <w:pStyle w:val="ListBullet"/>
        <w:spacing w:after="60"/>
      </w:pPr>
      <w:r>
        <w:rPr>
          <w:b/>
          <w:i w:val="0"/>
          <w:color w:val="0A0A0A"/>
          <w:sz w:val="22"/>
          <w:rFonts w:ascii="Arial" w:hAnsi="Arial" w:cs="Arial"/>
        </w:rPr>
        <w:t xml:space="preserve">Hebel versprechen, die Sie nicht halten. </w:t>
      </w:r>
      <w:r>
        <w:rPr>
          <w:b w:val="0"/>
          <w:i w:val="0"/>
          <w:color w:val="333333"/>
          <w:sz w:val="22"/>
          <w:rFonts w:ascii="Arial" w:hAnsi="Arial" w:cs="Arial"/>
        </w:rPr>
        <w:t>Festpreis-Sicherheit ohne eingehaltenen Festpreis kostet Vertrauen, und am Ende Kunden.</w:t>
      </w:r>
    </w:p>
    <w:p>
      <w:pPr>
        <w:pStyle w:val="Heading1"/>
      </w:pPr>
      <w:r>
        <w:rPr>
          <w:b/>
          <w:i w:val="0"/>
          <w:color w:val="0A0A0A"/>
          <w:sz w:val="32"/>
          <w:rFonts w:ascii="Arial" w:hAnsi="Arial" w:cs="Arial"/>
        </w:rPr>
        <w:t>9. Ihr nächster Schritt</w:t>
      </w:r>
    </w:p>
    <w:p>
      <w:pPr>
        <w:spacing w:after="120" w:before="0" w:line="276" w:lineRule="auto"/>
      </w:pPr>
      <w:r>
        <w:rPr>
          <w:b w:val="0"/>
          <w:i w:val="0"/>
          <w:color w:val="333333"/>
          <w:sz w:val="22"/>
          <w:rFonts w:ascii="Arial" w:hAnsi="Arial" w:cs="Arial"/>
        </w:rPr>
        <w:t>Öffnen Sie den Wert-Rechner (App oder Excel). Tragen Sie Ihren häufigsten Auftragstyp ein und bauen Sie Ihr erstes Festpreis-Paket. Nehmen Sie es in das nächste Kundengespräch mit, die passenden Formulierungen finden Sie in den Gesprächs-Bausteinen, ebenfalls Teil von Werkzeug 1.</w:t>
      </w:r>
    </w:p>
    <w:tbl>
      <w:tblPr>
        <w:tblW w:type="auto" w:w="0"/>
        <w:jc w:val="center"/>
        <w:tblLook w:firstColumn="1" w:firstRow="1" w:lastColumn="0" w:lastRow="0" w:noHBand="0" w:noVBand="1" w:val="04A0"/>
        <w:tblBorders>
          <w:top w:val="none"/>
          <w:left w:val="none"/>
          <w:bottom w:val="none"/>
          <w:right w:val="none"/>
          <w:insideH w:val="none"/>
          <w:insideV w:val="none"/>
        </w:tblBorders>
      </w:tblPr>
      <w:tblGrid>
        <w:gridCol w:w="9746"/>
      </w:tblGrid>
      <w:tr>
        <w:tc>
          <w:tcPr>
            <w:tcW w:type="dxa" w:w="9746"/>
            <w:shd w:val="clear" w:fill="0A0A0A"/>
            <w:tcMar>
              <w:top w:w="140" w:type="dxa"/>
              <w:bottom w:w="140" w:type="dxa"/>
              <w:start w:w="160" w:type="dxa"/>
              <w:end w:w="160" w:type="dxa"/>
            </w:tcMar>
          </w:tcPr>
          <w:p>
            <w:pPr>
              <w:spacing w:after="60"/>
            </w:pPr>
            <w:r>
              <w:rPr>
                <w:b/>
                <w:i w:val="0"/>
                <w:color w:val="FBCE3C"/>
                <w:sz w:val="20"/>
                <w:rFonts w:ascii="Arial" w:hAnsi="Arial" w:cs="Arial"/>
              </w:rPr>
              <w:t>WEITER IM ERFOLGSKIT</w:t>
            </w:r>
          </w:p>
          <w:p>
            <w:pPr>
              <w:spacing w:after="0"/>
            </w:pPr>
            <w:r>
              <w:rPr>
                <w:b w:val="0"/>
                <w:i w:val="0"/>
                <w:color w:val="FFFFFF"/>
                <w:sz w:val="21"/>
                <w:rFonts w:ascii="Arial" w:hAnsi="Arial" w:cs="Arial"/>
              </w:rPr>
              <w:t>Werkzeug 2, Vor- und Nachkalkulation als Margenturbo, zeigt Ihnen, ob Ihre Pakete am Ende wirklich die geplante Marge bringen.</w:t>
            </w:r>
          </w:p>
        </w:tc>
      </w:tr>
    </w:tbl>
    <w:p>
      <w:pPr>
        <w:spacing w:after="120"/>
      </w:pPr>
    </w:p>
    <w:p>
      <w:pPr>
        <w:spacing w:after="80" w:before="0" w:line="276" w:lineRule="auto"/>
        <w:pBdr>
          <w:bottom w:val="single" w:sz="24" w:space="1" w:color="FBCE3C"/>
        </w:pBdr>
      </w:pPr>
    </w:p>
    <w:p>
      <w:pPr>
        <w:spacing w:after="0" w:before="0" w:line="276" w:lineRule="auto"/>
      </w:pPr>
      <w:r>
        <w:rPr>
          <w:b w:val="0"/>
          <w:i/>
          <w:color w:val="888888"/>
          <w:sz w:val="16"/>
          <w:rFonts w:ascii="Arial" w:hAnsi="Arial" w:cs="Arial"/>
        </w:rPr>
        <w:t>Betriebswirtschaftliche Orientierungshilfe. Keine Rechts- oder Steuerberatung. Alle Beträge netto. © Vorsprung Handwerk GmbH, Nürtingen.</w:t>
      </w:r>
    </w:p>
    <w:sectPr w:rsidR="00FC693F" w:rsidRPr="0006063C" w:rsidSect="00034616">
      <w:footerReference w:type="default" r:id="rId9"/>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888888"/>
        <w:sz w:val="16"/>
        <w:rFonts w:ascii="Arial" w:hAnsi="Arial" w:cs="Arial"/>
      </w:rPr>
      <w:t xml:space="preserve">HandwerkStars · Vorsprung Handwerk GmbH · handwerkstars.de   |   Werkzeug 1 · Methoden-Arbeitsheft   |   Seite </w:t>
    </w:r>
    <w:r>
      <w:rPr>
        <w:rFonts w:ascii="Arial" w:hAnsi="Arial"/>
        <w:color w:val="888888"/>
        <w:sz w:val="16"/>
      </w:rPr>
      <w:fldChar w:fldCharType="begin"/>
    </w:r>
    <w:r>
      <w:rPr>
        <w:rFonts w:ascii="Arial" w:hAnsi="Arial"/>
        <w:color w:val="888888"/>
        <w:sz w:val="16"/>
      </w:rPr>
      <w:instrText xml:space="preserve">PAGE</w:instrText>
    </w:r>
    <w:r>
      <w:rPr>
        <w:rFonts w:ascii="Arial" w:hAnsi="Arial"/>
        <w:color w:val="888888"/>
        <w:sz w:val="16"/>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33333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Arial" w:hAnsi="Arial"/>
      <w:b/>
      <w:bCs/>
      <w:i w:val="0"/>
      <w:color w:val="0A0A0A"/>
      <w:sz w:val="32"/>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Arial" w:hAnsi="Arial"/>
      <w:b/>
      <w:bCs/>
      <w:i w:val="0"/>
      <w:color w:val="0A0A0A"/>
      <w:sz w:val="26"/>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Arial" w:hAnsi="Arial"/>
      <w:b/>
      <w:bCs/>
      <w:i w:val="0"/>
      <w:color w:val="0A0A0A"/>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Vom Kostenaufschlag zum Wert, Methoden-Arbeitsheft</dc:title>
  <dc:subject/>
  <dc:creator>Jerome Fischer</dc:creator>
  <cp:keywords/>
  <dc:description>generated by python-docx</dc:description>
  <cp:lastModifiedBy>Jerome Fischer</cp:lastModifiedBy>
  <cp:revision>1</cp:revision>
  <dcterms:created xsi:type="dcterms:W3CDTF">2013-12-23T23:15:00Z</dcterms:created>
  <dcterms:modified xsi:type="dcterms:W3CDTF">2013-12-23T23:15:00Z</dcterms:modified>
  <cp:category/>
  <dc:language>de-DE</dc:language>
</cp:coreProperties>
</file>